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E2627C" w14:paraId="33D3547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Pr>
          <w:tbl>
            <w:tblPr>
              <w:tblStyle w:val="TableGrid"/>
              <w:tblpPr w:leftFromText="180" w:rightFromText="180" w:vertAnchor="text" w:horzAnchor="margin" w:tblpXSpec="center" w:tblpY="2284"/>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E2627C" w14:paraId="3F26895E" w14:textId="77777777" w:rsidTr="009A6DE4">
              <w:tc>
                <w:tcPr>
                  <w:tcW w:w="9298" w:type="dxa"/>
                  <w:vAlign w:val="center"/>
                </w:tcPr>
                <w:p w14:paraId="6908ABDC" w14:textId="609C0CEB" w:rsidR="00B175AC" w:rsidRPr="00390EA4" w:rsidRDefault="009A6DE4" w:rsidP="00B4752E">
                  <w:pPr>
                    <w:pStyle w:val="CoverPageTitle"/>
                    <w:spacing w:before="0" w:after="0"/>
                    <w:jc w:val="left"/>
                    <w:rPr>
                      <w:color w:val="003F72"/>
                      <w:lang w:val="fr-FR"/>
                    </w:rPr>
                  </w:pPr>
                  <w:r w:rsidRPr="00390EA4">
                    <w:rPr>
                      <w:color w:val="003F72"/>
                      <w:lang w:val="fr-FR"/>
                    </w:rPr>
                    <w:t xml:space="preserve"> Formulaire de demande de financement</w:t>
                  </w:r>
                </w:p>
                <w:p w14:paraId="0CB60D3D" w14:textId="2B3C991A" w:rsidR="00C11349" w:rsidRPr="00390EA4" w:rsidRDefault="00C11349" w:rsidP="009B6C0D">
                  <w:pPr>
                    <w:pStyle w:val="CoverPageTitle"/>
                    <w:spacing w:before="0" w:after="0"/>
                    <w:rPr>
                      <w:color w:val="003F72"/>
                      <w:sz w:val="40"/>
                      <w:lang w:val="fr-FR"/>
                    </w:rPr>
                  </w:pPr>
                  <w:r w:rsidRPr="00390EA4">
                    <w:rPr>
                      <w:color w:val="003F72"/>
                      <w:sz w:val="40"/>
                      <w:lang w:val="fr-FR"/>
                    </w:rPr>
                    <w:t>Période d’allocation 2020-2022</w:t>
                  </w:r>
                </w:p>
              </w:tc>
            </w:tr>
          </w:tbl>
          <w:p w14:paraId="4470BB6E" w14:textId="77777777" w:rsidR="007043C7" w:rsidRPr="00390EA4" w:rsidRDefault="00D2069F" w:rsidP="009B6C0D">
            <w:pPr>
              <w:pStyle w:val="Texteformulaire"/>
              <w:jc w:val="center"/>
              <w:rPr>
                <w:caps w:val="0"/>
                <w:lang w:val="fr-FR"/>
              </w:rPr>
            </w:pPr>
            <w:r w:rsidRPr="00390EA4">
              <w:rPr>
                <w:noProof/>
                <w:lang w:val="fr-FR" w:eastAsia="fr-FR"/>
              </w:rPr>
              <mc:AlternateContent>
                <mc:Choice Requires="wps">
                  <w:drawing>
                    <wp:anchor distT="0" distB="0" distL="114300" distR="114300" simplePos="0" relativeHeight="251658240" behindDoc="0" locked="0" layoutInCell="1" allowOverlap="1" wp14:anchorId="18AB035E" wp14:editId="0336A1DB">
                      <wp:simplePos x="0" y="0"/>
                      <wp:positionH relativeFrom="margin">
                        <wp:align>right</wp:align>
                      </wp:positionH>
                      <wp:positionV relativeFrom="margin">
                        <wp:align>center</wp:align>
                      </wp:positionV>
                      <wp:extent cx="574040" cy="10899648"/>
                      <wp:effectExtent l="0" t="0" r="0" b="0"/>
                      <wp:wrapNone/>
                      <wp:docPr id="203" name="Rectangle 203"/>
                      <wp:cNvGraphicFramePr/>
                      <a:graphic xmlns:a="http://schemas.openxmlformats.org/drawingml/2006/main">
                        <a:graphicData uri="http://schemas.microsoft.com/office/word/2010/wordprocessingShape">
                          <wps:wsp>
                            <wps:cNvSpPr/>
                            <wps:spPr>
                              <a:xfrm>
                                <a:off x="0" y="0"/>
                                <a:ext cx="574040" cy="10899648"/>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9F123" w14:textId="41398B29" w:rsidR="008D06AB" w:rsidRPr="009F52F1" w:rsidRDefault="008D06AB" w:rsidP="0086619D">
                                  <w:pPr>
                                    <w:jc w:val="center"/>
                                    <w:rPr>
                                      <w:color w:val="FFFFFF" w:themeColor="background1"/>
                                      <w:sz w:val="48"/>
                                      <w:szCs w:val="48"/>
                                    </w:rPr>
                                  </w:pPr>
                                  <w:r w:rsidRPr="00E80CEF">
                                    <w:rPr>
                                      <w:color w:val="FFFFFF" w:themeColor="background1"/>
                                      <w:sz w:val="48"/>
                                    </w:rPr>
                                    <w:t>Examen complet</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035E" id="Rectangle 203" o:spid="_x0000_s1026" style="position:absolute;left:0;text-align:left;margin-left:-6pt;margin-top:0;width:45.2pt;height:858.25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" fillcolor="#003f72" stroked="f" strokeweight="1pt">
                      <v:textbox style="layout-flow:vertical" inset=",14.4pt,8.64pt,18pt">
                        <w:txbxContent>
                          <w:p w14:paraId="44A9F123" w14:textId="41398B29" w:rsidR="008D06AB" w:rsidRPr="009F52F1" w:rsidRDefault="008D06AB" w:rsidP="0086619D">
                            <w:pPr>
                              <w:jc w:val="center"/>
                              <w:rPr>
                                <w:color w:val="FFFFFF" w:themeColor="background1"/>
                                <w:sz w:val="48"/>
                                <w:szCs w:val="48"/>
                              </w:rPr>
                            </w:pPr>
                            <w:r w:rsidRPr="00E80CEF">
                              <w:rPr>
                                <w:color w:val="FFFFFF" w:themeColor="background1"/>
                                <w:sz w:val="48"/>
                              </w:rPr>
                              <w:t>Examen complet</w:t>
                            </w:r>
                          </w:p>
                        </w:txbxContent>
                      </v:textbox>
                      <w10:wrap anchorx="margin" anchory="margin"/>
                    </v:rect>
                  </w:pict>
                </mc:Fallback>
              </mc:AlternateContent>
            </w:r>
          </w:p>
        </w:tc>
      </w:tr>
    </w:tbl>
    <w:p w14:paraId="4D5C031D" w14:textId="77777777" w:rsidR="007043C7" w:rsidRPr="00390EA4" w:rsidRDefault="007043C7" w:rsidP="009B6C0D">
      <w:pPr>
        <w:pStyle w:val="Tiny"/>
        <w:rPr>
          <w:lang w:val="fr-FR"/>
        </w:rPr>
      </w:pPr>
      <w:bookmarkStart w:id="0" w:name="_Hlk14265535"/>
    </w:p>
    <w:p w14:paraId="5DF05DFA" w14:textId="77777777" w:rsidR="009A28E5" w:rsidRPr="00E80CEF" w:rsidRDefault="009A28E5" w:rsidP="009B6C0D">
      <w:pPr>
        <w:spacing w:after="0"/>
      </w:pPr>
      <w:bookmarkStart w:id="1" w:name="_Hlk15390092"/>
    </w:p>
    <w:p w14:paraId="695235FB" w14:textId="2CCBA7EB" w:rsidR="009F52F1" w:rsidRPr="00D236CA" w:rsidRDefault="00E0219C" w:rsidP="009B6C0D">
      <w:pPr>
        <w:tabs>
          <w:tab w:val="left" w:pos="1925"/>
        </w:tabs>
        <w:spacing w:after="0"/>
      </w:pPr>
      <w:r>
        <w:tab/>
      </w:r>
    </w:p>
    <w:p w14:paraId="11EDC92F" w14:textId="77777777" w:rsidR="009F52F1" w:rsidRPr="00D236CA" w:rsidRDefault="009F52F1" w:rsidP="009B6C0D">
      <w:pPr>
        <w:spacing w:after="0"/>
      </w:pPr>
    </w:p>
    <w:p w14:paraId="6A4BD23C" w14:textId="77777777" w:rsidR="009F52F1" w:rsidRPr="00D236CA" w:rsidRDefault="009F52F1" w:rsidP="009B6C0D">
      <w:pPr>
        <w:spacing w:after="0"/>
      </w:pPr>
    </w:p>
    <w:p w14:paraId="79CD308B" w14:textId="77777777" w:rsidR="009F52F1" w:rsidRPr="00D236CA" w:rsidRDefault="009F52F1" w:rsidP="009B6C0D">
      <w:pPr>
        <w:spacing w:after="0"/>
      </w:pPr>
    </w:p>
    <w:p w14:paraId="4FCC4226" w14:textId="77777777" w:rsidR="009F52F1" w:rsidRPr="00D236CA" w:rsidRDefault="009F52F1" w:rsidP="009B6C0D">
      <w:pPr>
        <w:spacing w:after="0"/>
      </w:pPr>
    </w:p>
    <w:p w14:paraId="302C03B8" w14:textId="4E7B6848" w:rsidR="002F44D7" w:rsidRPr="00750CA9" w:rsidRDefault="00F42618" w:rsidP="009B6C0D">
      <w:pPr>
        <w:spacing w:after="0"/>
        <w:rPr>
          <w:rFonts w:ascii="Arial" w:hAnsi="Arial"/>
          <w:i/>
          <w:sz w:val="22"/>
        </w:rPr>
      </w:pPr>
      <w:bookmarkStart w:id="2" w:name="_Hlk14265541"/>
      <w:bookmarkStart w:id="3" w:name="_Hlk15384019"/>
      <w:bookmarkEnd w:id="0"/>
      <w:r>
        <w:rPr>
          <w:i/>
        </w:rPr>
        <w:t>Se reporter aux Instructions relatives à « l’examen complet » pour remplir ce formulaire.</w:t>
      </w:r>
    </w:p>
    <w:p w14:paraId="6F5C6806" w14:textId="77777777" w:rsidR="002F44D7" w:rsidRPr="00D236CA" w:rsidRDefault="002F44D7" w:rsidP="009B6C0D">
      <w:pPr>
        <w:spacing w:after="0"/>
        <w:rPr>
          <w:i/>
        </w:rPr>
      </w:pPr>
    </w:p>
    <w:p w14:paraId="67247401" w14:textId="09F74640" w:rsidR="00304EE8" w:rsidRPr="005A02BE" w:rsidRDefault="009F52F1" w:rsidP="00E80CEF">
      <w:pPr>
        <w:pStyle w:val="Title"/>
        <w:rPr>
          <w:sz w:val="36"/>
          <w:szCs w:val="36"/>
        </w:rPr>
      </w:pPr>
      <w:bookmarkStart w:id="4" w:name="_Hlk15379923"/>
      <w:bookmarkEnd w:id="2"/>
      <w:r w:rsidRPr="00390EA4">
        <w:rPr>
          <w:rStyle w:val="Heading1Char"/>
          <w:sz w:val="36"/>
        </w:rPr>
        <w:t>Résumé</w:t>
      </w:r>
    </w:p>
    <w:tbl>
      <w:tblPr>
        <w:tblStyle w:val="TableGrid"/>
        <w:tblW w:w="0" w:type="auto"/>
        <w:tblLook w:val="04A0" w:firstRow="1" w:lastRow="0" w:firstColumn="1" w:lastColumn="0" w:noHBand="0" w:noVBand="1"/>
      </w:tblPr>
      <w:tblGrid>
        <w:gridCol w:w="4258"/>
        <w:gridCol w:w="5370"/>
      </w:tblGrid>
      <w:tr w:rsidR="0098553B" w:rsidRPr="00B271DB" w14:paraId="4A2FAC0B" w14:textId="77777777" w:rsidTr="004614FA">
        <w:trPr>
          <w:trHeight w:val="461"/>
        </w:trPr>
        <w:tc>
          <w:tcPr>
            <w:tcW w:w="4320" w:type="dxa"/>
            <w:shd w:val="clear" w:color="auto" w:fill="F2F2F2" w:themeFill="background1" w:themeFillShade="F2"/>
            <w:vAlign w:val="center"/>
          </w:tcPr>
          <w:p w14:paraId="251C7E66" w14:textId="77777777" w:rsidR="0098553B" w:rsidRPr="00B271DB" w:rsidRDefault="0098553B" w:rsidP="00546000">
            <w:pPr>
              <w:rPr>
                <w:rFonts w:cs="Arial"/>
                <w:b/>
              </w:rPr>
            </w:pPr>
            <w:r w:rsidRPr="00E80CEF">
              <w:rPr>
                <w:b/>
              </w:rPr>
              <w:t>Pays</w:t>
            </w:r>
          </w:p>
        </w:tc>
        <w:tc>
          <w:tcPr>
            <w:tcW w:w="5472" w:type="dxa"/>
            <w:vAlign w:val="center"/>
          </w:tcPr>
          <w:p w14:paraId="5129C321" w14:textId="1A5A6F96" w:rsidR="0098553B" w:rsidRPr="00880C3E" w:rsidRDefault="001F5D71" w:rsidP="004614FA">
            <w:pPr>
              <w:rPr>
                <w:rFonts w:cs="Arial"/>
                <w:sz w:val="22"/>
                <w:szCs w:val="22"/>
              </w:rPr>
            </w:pPr>
            <w:r w:rsidRPr="00880C3E">
              <w:rPr>
                <w:rFonts w:cs="Arial"/>
                <w:sz w:val="22"/>
                <w:szCs w:val="22"/>
              </w:rPr>
              <w:t>Côte d’Ivoire</w:t>
            </w:r>
          </w:p>
        </w:tc>
      </w:tr>
      <w:tr w:rsidR="0098553B" w:rsidRPr="00B271DB" w14:paraId="3AB792AF" w14:textId="77777777" w:rsidTr="004614FA">
        <w:trPr>
          <w:trHeight w:val="461"/>
        </w:trPr>
        <w:tc>
          <w:tcPr>
            <w:tcW w:w="4320" w:type="dxa"/>
            <w:shd w:val="clear" w:color="auto" w:fill="F2F2F2" w:themeFill="background1" w:themeFillShade="F2"/>
            <w:vAlign w:val="center"/>
          </w:tcPr>
          <w:p w14:paraId="21E800C8" w14:textId="77777777" w:rsidR="0098553B" w:rsidRPr="00B271DB" w:rsidRDefault="0098553B" w:rsidP="00546000">
            <w:pPr>
              <w:rPr>
                <w:rFonts w:cs="Arial"/>
                <w:b/>
              </w:rPr>
            </w:pPr>
            <w:r w:rsidRPr="00E80CEF">
              <w:rPr>
                <w:b/>
              </w:rPr>
              <w:t>Composante(s)</w:t>
            </w:r>
          </w:p>
        </w:tc>
        <w:tc>
          <w:tcPr>
            <w:tcW w:w="5472" w:type="dxa"/>
            <w:vAlign w:val="center"/>
          </w:tcPr>
          <w:p w14:paraId="5C72C9E1" w14:textId="1047F90D" w:rsidR="0098553B" w:rsidRPr="00880C3E" w:rsidRDefault="001F5D71" w:rsidP="004614FA">
            <w:pPr>
              <w:rPr>
                <w:rFonts w:cs="Arial"/>
                <w:sz w:val="22"/>
                <w:szCs w:val="22"/>
              </w:rPr>
            </w:pPr>
            <w:r w:rsidRPr="00880C3E">
              <w:rPr>
                <w:rFonts w:cs="Arial"/>
                <w:sz w:val="22"/>
                <w:szCs w:val="22"/>
              </w:rPr>
              <w:t>VIH</w:t>
            </w:r>
          </w:p>
        </w:tc>
      </w:tr>
      <w:tr w:rsidR="0098553B" w:rsidRPr="001F5D71" w14:paraId="49E281F2" w14:textId="77777777" w:rsidTr="004614FA">
        <w:trPr>
          <w:trHeight w:val="461"/>
        </w:trPr>
        <w:tc>
          <w:tcPr>
            <w:tcW w:w="4320" w:type="dxa"/>
            <w:shd w:val="clear" w:color="auto" w:fill="F2F2F2" w:themeFill="background1" w:themeFillShade="F2"/>
            <w:vAlign w:val="center"/>
          </w:tcPr>
          <w:p w14:paraId="2F83042A" w14:textId="77777777" w:rsidR="0098553B" w:rsidRPr="00D236CA" w:rsidRDefault="0098553B" w:rsidP="00546000">
            <w:pPr>
              <w:rPr>
                <w:b/>
              </w:rPr>
            </w:pPr>
            <w:r w:rsidRPr="00E80CEF">
              <w:rPr>
                <w:b/>
              </w:rPr>
              <w:t>Date de début prévu de la ou des subvention(s)</w:t>
            </w:r>
          </w:p>
        </w:tc>
        <w:tc>
          <w:tcPr>
            <w:tcW w:w="5472" w:type="dxa"/>
            <w:vAlign w:val="center"/>
          </w:tcPr>
          <w:p w14:paraId="504388C3" w14:textId="47301800" w:rsidR="0098553B" w:rsidRPr="00880C3E" w:rsidRDefault="001F5D71" w:rsidP="004614FA">
            <w:pPr>
              <w:rPr>
                <w:sz w:val="22"/>
                <w:szCs w:val="22"/>
              </w:rPr>
            </w:pPr>
            <w:r w:rsidRPr="00880C3E">
              <w:rPr>
                <w:sz w:val="22"/>
                <w:szCs w:val="22"/>
              </w:rPr>
              <w:t>1</w:t>
            </w:r>
            <w:r w:rsidRPr="00880C3E">
              <w:rPr>
                <w:sz w:val="22"/>
                <w:szCs w:val="22"/>
                <w:vertAlign w:val="superscript"/>
              </w:rPr>
              <w:t>er</w:t>
            </w:r>
            <w:r w:rsidRPr="00880C3E">
              <w:rPr>
                <w:sz w:val="22"/>
                <w:szCs w:val="22"/>
              </w:rPr>
              <w:t xml:space="preserve"> janvier 2021</w:t>
            </w:r>
          </w:p>
        </w:tc>
      </w:tr>
      <w:tr w:rsidR="0098553B" w:rsidRPr="001F5D71" w14:paraId="3CC5F4AB" w14:textId="77777777" w:rsidTr="004614FA">
        <w:trPr>
          <w:trHeight w:val="461"/>
        </w:trPr>
        <w:tc>
          <w:tcPr>
            <w:tcW w:w="4320" w:type="dxa"/>
            <w:shd w:val="clear" w:color="auto" w:fill="F2F2F2" w:themeFill="background1" w:themeFillShade="F2"/>
            <w:vAlign w:val="center"/>
          </w:tcPr>
          <w:p w14:paraId="11A00A57" w14:textId="77777777" w:rsidR="0098553B" w:rsidRPr="00D236CA" w:rsidRDefault="0098553B" w:rsidP="00546000">
            <w:pPr>
              <w:rPr>
                <w:b/>
              </w:rPr>
            </w:pPr>
            <w:r w:rsidRPr="00E80CEF">
              <w:rPr>
                <w:b/>
              </w:rPr>
              <w:t>Date de fin prévue de la ou des subvention(s)</w:t>
            </w:r>
          </w:p>
        </w:tc>
        <w:tc>
          <w:tcPr>
            <w:tcW w:w="5472" w:type="dxa"/>
            <w:vAlign w:val="center"/>
          </w:tcPr>
          <w:p w14:paraId="43B974E3" w14:textId="08F9EB1E" w:rsidR="0098553B" w:rsidRPr="00880C3E" w:rsidRDefault="001F5D71" w:rsidP="004614FA">
            <w:pPr>
              <w:rPr>
                <w:sz w:val="22"/>
                <w:szCs w:val="22"/>
              </w:rPr>
            </w:pPr>
            <w:r w:rsidRPr="00880C3E">
              <w:rPr>
                <w:sz w:val="22"/>
                <w:szCs w:val="22"/>
              </w:rPr>
              <w:t>31 décembre 2023</w:t>
            </w:r>
          </w:p>
        </w:tc>
      </w:tr>
      <w:tr w:rsidR="0098553B" w:rsidRPr="00B271DB" w14:paraId="6DE13238" w14:textId="77777777" w:rsidTr="004614FA">
        <w:trPr>
          <w:trHeight w:val="461"/>
        </w:trPr>
        <w:tc>
          <w:tcPr>
            <w:tcW w:w="4320" w:type="dxa"/>
            <w:shd w:val="clear" w:color="auto" w:fill="F2F2F2" w:themeFill="background1" w:themeFillShade="F2"/>
            <w:vAlign w:val="center"/>
          </w:tcPr>
          <w:p w14:paraId="1148138C" w14:textId="3421F1A8" w:rsidR="0098553B" w:rsidRPr="00B271DB" w:rsidRDefault="00680AA8" w:rsidP="00546000">
            <w:pPr>
              <w:rPr>
                <w:rFonts w:cs="Arial"/>
                <w:b/>
              </w:rPr>
            </w:pPr>
            <w:r w:rsidRPr="00E80CEF">
              <w:rPr>
                <w:b/>
              </w:rPr>
              <w:t>Récipiendaire</w:t>
            </w:r>
            <w:r>
              <w:rPr>
                <w:b/>
              </w:rPr>
              <w:t>(</w:t>
            </w:r>
            <w:r w:rsidRPr="00B271DB">
              <w:rPr>
                <w:b/>
              </w:rPr>
              <w:t>s</w:t>
            </w:r>
            <w:r>
              <w:rPr>
                <w:b/>
              </w:rPr>
              <w:t>)</w:t>
            </w:r>
            <w:r w:rsidRPr="00B271DB">
              <w:rPr>
                <w:b/>
              </w:rPr>
              <w:t xml:space="preserve"> principa</w:t>
            </w:r>
            <w:r>
              <w:rPr>
                <w:b/>
              </w:rPr>
              <w:t>l(</w:t>
            </w:r>
            <w:proofErr w:type="spellStart"/>
            <w:r w:rsidRPr="00B271DB">
              <w:rPr>
                <w:b/>
              </w:rPr>
              <w:t>ux</w:t>
            </w:r>
            <w:proofErr w:type="spellEnd"/>
            <w:r>
              <w:rPr>
                <w:b/>
              </w:rPr>
              <w:t>)</w:t>
            </w:r>
          </w:p>
        </w:tc>
        <w:tc>
          <w:tcPr>
            <w:tcW w:w="5472" w:type="dxa"/>
            <w:vAlign w:val="center"/>
          </w:tcPr>
          <w:p w14:paraId="52335E2A" w14:textId="77777777" w:rsidR="0098553B" w:rsidRPr="00880C3E" w:rsidRDefault="001F5D71" w:rsidP="004614FA">
            <w:pPr>
              <w:rPr>
                <w:rFonts w:cs="Arial"/>
                <w:sz w:val="22"/>
                <w:szCs w:val="22"/>
              </w:rPr>
            </w:pPr>
            <w:r w:rsidRPr="00880C3E">
              <w:rPr>
                <w:rFonts w:cs="Arial"/>
                <w:sz w:val="22"/>
                <w:szCs w:val="22"/>
              </w:rPr>
              <w:t>PNLS</w:t>
            </w:r>
          </w:p>
          <w:p w14:paraId="1522AA05" w14:textId="75CE3754" w:rsidR="001F5D71" w:rsidRPr="00880C3E" w:rsidRDefault="001F5D71" w:rsidP="004614FA">
            <w:pPr>
              <w:rPr>
                <w:rFonts w:cs="Arial"/>
                <w:sz w:val="22"/>
                <w:szCs w:val="22"/>
              </w:rPr>
            </w:pPr>
            <w:r w:rsidRPr="00880C3E">
              <w:rPr>
                <w:rFonts w:cs="Arial"/>
                <w:sz w:val="22"/>
                <w:szCs w:val="22"/>
              </w:rPr>
              <w:t>Alliance Côte d’Ivoire</w:t>
            </w:r>
          </w:p>
        </w:tc>
      </w:tr>
      <w:tr w:rsidR="0098553B" w:rsidRPr="00B271DB" w14:paraId="56D0E5B2" w14:textId="77777777" w:rsidTr="004614FA">
        <w:trPr>
          <w:trHeight w:val="461"/>
        </w:trPr>
        <w:tc>
          <w:tcPr>
            <w:tcW w:w="4320" w:type="dxa"/>
            <w:shd w:val="clear" w:color="auto" w:fill="F2F2F2" w:themeFill="background1" w:themeFillShade="F2"/>
            <w:vAlign w:val="center"/>
          </w:tcPr>
          <w:p w14:paraId="73507538" w14:textId="77777777" w:rsidR="0098553B" w:rsidRPr="00B271DB" w:rsidRDefault="0098553B" w:rsidP="00546000">
            <w:pPr>
              <w:rPr>
                <w:rFonts w:cs="Arial"/>
                <w:b/>
              </w:rPr>
            </w:pPr>
            <w:r w:rsidRPr="00E80CEF">
              <w:rPr>
                <w:b/>
              </w:rPr>
              <w:t>Devise</w:t>
            </w:r>
          </w:p>
        </w:tc>
        <w:tc>
          <w:tcPr>
            <w:tcW w:w="5472" w:type="dxa"/>
            <w:vAlign w:val="center"/>
          </w:tcPr>
          <w:p w14:paraId="70ADCE51" w14:textId="78EEBBBF" w:rsidR="0098553B" w:rsidRPr="00880C3E" w:rsidRDefault="001F5D71" w:rsidP="004614FA">
            <w:pPr>
              <w:rPr>
                <w:rFonts w:cs="Arial"/>
                <w:sz w:val="22"/>
                <w:szCs w:val="22"/>
              </w:rPr>
            </w:pPr>
            <w:r w:rsidRPr="00880C3E">
              <w:rPr>
                <w:rFonts w:cs="Arial"/>
                <w:sz w:val="22"/>
                <w:szCs w:val="22"/>
              </w:rPr>
              <w:t>Euros</w:t>
            </w:r>
          </w:p>
        </w:tc>
      </w:tr>
      <w:tr w:rsidR="0098553B" w:rsidRPr="001F5D71" w14:paraId="17F5F7B4" w14:textId="77777777" w:rsidTr="004614FA">
        <w:trPr>
          <w:trHeight w:val="461"/>
        </w:trPr>
        <w:tc>
          <w:tcPr>
            <w:tcW w:w="4320" w:type="dxa"/>
            <w:shd w:val="clear" w:color="auto" w:fill="F2F2F2" w:themeFill="background1" w:themeFillShade="F2"/>
            <w:vAlign w:val="center"/>
          </w:tcPr>
          <w:p w14:paraId="2708C9A3" w14:textId="77777777" w:rsidR="0098553B" w:rsidRPr="00D236CA" w:rsidRDefault="0098553B" w:rsidP="00546000">
            <w:pPr>
              <w:rPr>
                <w:b/>
              </w:rPr>
            </w:pPr>
            <w:r w:rsidRPr="00E80CEF">
              <w:rPr>
                <w:b/>
              </w:rPr>
              <w:t xml:space="preserve">Montant de la demande de </w:t>
            </w:r>
            <w:r w:rsidRPr="00B271DB">
              <w:rPr>
                <w:b/>
              </w:rPr>
              <w:t>financement dans les limites de l’allocation</w:t>
            </w:r>
          </w:p>
        </w:tc>
        <w:tc>
          <w:tcPr>
            <w:tcW w:w="5472" w:type="dxa"/>
            <w:vAlign w:val="center"/>
          </w:tcPr>
          <w:p w14:paraId="172C423E" w14:textId="4B2E0D69" w:rsidR="0098553B" w:rsidRPr="00880C3E" w:rsidRDefault="00DC244D" w:rsidP="004614FA">
            <w:pPr>
              <w:pStyle w:val="Texteformulaire"/>
              <w:jc w:val="left"/>
            </w:pPr>
            <w:r w:rsidRPr="00880C3E">
              <w:t>79</w:t>
            </w:r>
            <w:r w:rsidR="004951D8" w:rsidRPr="00880C3E">
              <w:t>,</w:t>
            </w:r>
            <w:r w:rsidR="002D1C63">
              <w:t>155</w:t>
            </w:r>
            <w:r w:rsidR="004951D8" w:rsidRPr="00880C3E">
              <w:t>,</w:t>
            </w:r>
            <w:r w:rsidR="002D1C63">
              <w:t>581</w:t>
            </w:r>
            <w:r w:rsidR="00D63F97" w:rsidRPr="00880C3E">
              <w:t xml:space="preserve"> </w:t>
            </w:r>
          </w:p>
        </w:tc>
      </w:tr>
      <w:tr w:rsidR="0098553B" w:rsidRPr="001F5D71" w14:paraId="5289D2CA" w14:textId="77777777" w:rsidTr="004614FA">
        <w:trPr>
          <w:trHeight w:val="461"/>
        </w:trPr>
        <w:tc>
          <w:tcPr>
            <w:tcW w:w="4320" w:type="dxa"/>
            <w:shd w:val="clear" w:color="auto" w:fill="F2F2F2" w:themeFill="background1" w:themeFillShade="F2"/>
            <w:vAlign w:val="center"/>
          </w:tcPr>
          <w:p w14:paraId="522C6A30" w14:textId="77777777" w:rsidR="0098553B" w:rsidRPr="00D236CA" w:rsidRDefault="0098553B" w:rsidP="00546000">
            <w:pPr>
              <w:rPr>
                <w:b/>
              </w:rPr>
            </w:pPr>
            <w:r w:rsidRPr="00E80CEF">
              <w:rPr>
                <w:b/>
              </w:rPr>
              <w:t>Montant de la demande hiérarchisée de financement au-delà de la somme allouée</w:t>
            </w:r>
            <w:r w:rsidRPr="00B271DB">
              <w:rPr>
                <w:rStyle w:val="FootnoteReference"/>
                <w:b/>
                <w:lang w:val="fr-FR" w:bidi="fr-FR"/>
              </w:rPr>
              <w:footnoteReference w:id="2"/>
            </w:r>
            <w:r w:rsidRPr="00E80CEF">
              <w:rPr>
                <w:b/>
              </w:rPr>
              <w:t xml:space="preserve"> </w:t>
            </w:r>
          </w:p>
        </w:tc>
        <w:tc>
          <w:tcPr>
            <w:tcW w:w="5472" w:type="dxa"/>
            <w:vAlign w:val="center"/>
          </w:tcPr>
          <w:p w14:paraId="0CF29D51" w14:textId="7F9E4E99" w:rsidR="0098553B" w:rsidRPr="00880C3E" w:rsidRDefault="00880C3E" w:rsidP="004614FA">
            <w:pPr>
              <w:pStyle w:val="Texteformulaire"/>
              <w:jc w:val="left"/>
              <w:rPr>
                <w:highlight w:val="yellow"/>
              </w:rPr>
            </w:pPr>
            <w:r w:rsidRPr="00880C3E">
              <w:t>28</w:t>
            </w:r>
            <w:r>
              <w:t>,</w:t>
            </w:r>
            <w:r w:rsidRPr="00880C3E">
              <w:t>513</w:t>
            </w:r>
            <w:r>
              <w:t>,</w:t>
            </w:r>
            <w:r w:rsidRPr="00880C3E">
              <w:t>64</w:t>
            </w:r>
            <w:r w:rsidR="005A7482">
              <w:t>8</w:t>
            </w:r>
            <w:bookmarkStart w:id="5" w:name="_GoBack"/>
            <w:bookmarkEnd w:id="5"/>
          </w:p>
        </w:tc>
      </w:tr>
      <w:tr w:rsidR="0098553B" w:rsidRPr="00B271DB" w14:paraId="0C66D1B8" w14:textId="77777777" w:rsidTr="004614FA">
        <w:trPr>
          <w:trHeight w:val="461"/>
        </w:trPr>
        <w:tc>
          <w:tcPr>
            <w:tcW w:w="4320" w:type="dxa"/>
            <w:shd w:val="clear" w:color="auto" w:fill="F2F2F2" w:themeFill="background1" w:themeFillShade="F2"/>
            <w:vAlign w:val="center"/>
          </w:tcPr>
          <w:p w14:paraId="0C68693A" w14:textId="77777777" w:rsidR="0098553B" w:rsidRPr="00D236CA" w:rsidRDefault="0098553B" w:rsidP="00E80CEF">
            <w:pPr>
              <w:spacing w:after="0"/>
              <w:rPr>
                <w:b/>
              </w:rPr>
            </w:pPr>
            <w:r w:rsidRPr="00E80CEF">
              <w:rPr>
                <w:b/>
              </w:rPr>
              <w:t>Montant de la demande de fonds de contrepartie</w:t>
            </w:r>
            <w:r>
              <w:rPr>
                <w:rStyle w:val="FootnoteReference"/>
                <w:b/>
                <w:lang w:val="fr-FR" w:bidi="fr-FR"/>
              </w:rPr>
              <w:footnoteReference w:id="3"/>
            </w:r>
            <w:r w:rsidRPr="00E80CEF">
              <w:rPr>
                <w:b/>
              </w:rPr>
              <w:t xml:space="preserve"> </w:t>
            </w:r>
          </w:p>
          <w:p w14:paraId="1C998162" w14:textId="77777777" w:rsidR="0098553B" w:rsidRPr="00890D60" w:rsidRDefault="0098553B" w:rsidP="00546000">
            <w:pPr>
              <w:rPr>
                <w:rFonts w:cs="Arial"/>
              </w:rPr>
            </w:pPr>
            <w:r w:rsidRPr="00890D60">
              <w:t>(</w:t>
            </w:r>
            <w:proofErr w:type="gramStart"/>
            <w:r w:rsidRPr="00890D60">
              <w:t>le</w:t>
            </w:r>
            <w:proofErr w:type="gramEnd"/>
            <w:r w:rsidRPr="00890D60">
              <w:t xml:space="preserve"> cas échéant)</w:t>
            </w:r>
          </w:p>
        </w:tc>
        <w:tc>
          <w:tcPr>
            <w:tcW w:w="5472" w:type="dxa"/>
            <w:vAlign w:val="center"/>
          </w:tcPr>
          <w:p w14:paraId="48053FA1" w14:textId="6BEDD2CE" w:rsidR="0098553B" w:rsidRPr="00880C3E" w:rsidRDefault="005C3130" w:rsidP="004614FA">
            <w:pPr>
              <w:rPr>
                <w:rFonts w:cs="Arial"/>
                <w:sz w:val="22"/>
                <w:szCs w:val="22"/>
              </w:rPr>
            </w:pPr>
            <w:r w:rsidRPr="00880C3E">
              <w:rPr>
                <w:rFonts w:cs="Arial"/>
                <w:sz w:val="22"/>
                <w:szCs w:val="22"/>
              </w:rPr>
              <w:t>1</w:t>
            </w:r>
            <w:r w:rsidR="004951D8" w:rsidRPr="00880C3E">
              <w:rPr>
                <w:rFonts w:cs="Arial"/>
                <w:sz w:val="22"/>
                <w:szCs w:val="22"/>
              </w:rPr>
              <w:t>,</w:t>
            </w:r>
            <w:r w:rsidRPr="00880C3E">
              <w:rPr>
                <w:rFonts w:ascii="Arial" w:eastAsiaTheme="minorHAnsi" w:hAnsi="Arial"/>
                <w:sz w:val="22"/>
                <w:szCs w:val="22"/>
                <w:lang w:val="en-US"/>
              </w:rPr>
              <w:t>994</w:t>
            </w:r>
            <w:r w:rsidR="004951D8" w:rsidRPr="00880C3E">
              <w:rPr>
                <w:rFonts w:ascii="Arial" w:eastAsiaTheme="minorHAnsi" w:hAnsi="Arial"/>
                <w:sz w:val="22"/>
                <w:szCs w:val="22"/>
                <w:lang w:val="en-US"/>
              </w:rPr>
              <w:t>,</w:t>
            </w:r>
            <w:r w:rsidRPr="00880C3E">
              <w:rPr>
                <w:rFonts w:ascii="Arial" w:eastAsiaTheme="minorHAnsi" w:hAnsi="Arial"/>
                <w:sz w:val="22"/>
                <w:szCs w:val="22"/>
                <w:lang w:val="en-US"/>
              </w:rPr>
              <w:t>630</w:t>
            </w:r>
          </w:p>
        </w:tc>
      </w:tr>
    </w:tbl>
    <w:p w14:paraId="76B244C2" w14:textId="5B3F9A77" w:rsidR="00ED424B" w:rsidRDefault="00ED424B" w:rsidP="00ED424B">
      <w:pPr>
        <w:rPr>
          <w:rFonts w:eastAsiaTheme="majorEastAsia" w:cs="Arial"/>
          <w:b/>
          <w:sz w:val="32"/>
          <w:szCs w:val="32"/>
        </w:rPr>
      </w:pPr>
    </w:p>
    <w:p w14:paraId="3004B73F" w14:textId="11F26081" w:rsidR="00ED424B" w:rsidRDefault="00DD4E0F" w:rsidP="00DD4E0F">
      <w:pPr>
        <w:jc w:val="center"/>
        <w:rPr>
          <w:rFonts w:eastAsiaTheme="majorEastAsia" w:cs="Arial"/>
          <w:b/>
          <w:sz w:val="32"/>
          <w:szCs w:val="32"/>
        </w:rPr>
      </w:pPr>
      <w:r w:rsidRPr="00E80CEF">
        <w:rPr>
          <w:b/>
          <w:noProof/>
          <w:sz w:val="32"/>
          <w:lang w:eastAsia="fr-FR"/>
        </w:rPr>
        <w:drawing>
          <wp:inline distT="0" distB="0" distL="0" distR="0" wp14:anchorId="1A6CFB73" wp14:editId="61F7224C">
            <wp:extent cx="2988129" cy="342900"/>
            <wp:effectExtent l="0" t="0" r="3175"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GlobalFundLogo_Color_f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00381" cy="344306"/>
                    </a:xfrm>
                    <a:prstGeom prst="rect">
                      <a:avLst/>
                    </a:prstGeom>
                  </pic:spPr>
                </pic:pic>
              </a:graphicData>
            </a:graphic>
          </wp:inline>
        </w:drawing>
      </w:r>
    </w:p>
    <w:p w14:paraId="1B6D1A53" w14:textId="02C67A39" w:rsidR="001A1211" w:rsidRPr="00B271DB" w:rsidRDefault="001A1211" w:rsidP="009B6C0D">
      <w:pPr>
        <w:spacing w:after="0"/>
        <w:jc w:val="center"/>
        <w:sectPr w:rsidR="001A1211" w:rsidRPr="00B271DB" w:rsidSect="00B816D4">
          <w:headerReference w:type="default" r:id="rId19"/>
          <w:footerReference w:type="default" r:id="rId20"/>
          <w:endnotePr>
            <w:numFmt w:val="chicago"/>
          </w:endnotePr>
          <w:pgSz w:w="11906" w:h="16838" w:code="9"/>
          <w:pgMar w:top="851" w:right="1134" w:bottom="360" w:left="1134" w:header="720" w:footer="288" w:gutter="0"/>
          <w:cols w:space="708"/>
          <w:docGrid w:linePitch="360"/>
        </w:sectPr>
      </w:pPr>
    </w:p>
    <w:bookmarkEnd w:id="1"/>
    <w:bookmarkEnd w:id="3"/>
    <w:bookmarkEnd w:id="4"/>
    <w:p w14:paraId="197DAC1D" w14:textId="009CB92A" w:rsidR="0098274C" w:rsidRPr="00D236CA" w:rsidRDefault="009B6C0D" w:rsidP="00390EA4">
      <w:pPr>
        <w:pStyle w:val="Heading1"/>
        <w:spacing w:before="0"/>
        <w:ind w:left="567" w:hanging="567"/>
      </w:pPr>
      <w:r w:rsidRPr="00E80CEF">
        <w:lastRenderedPageBreak/>
        <w:t>Section 1 : Contexte lié à la demande de financement</w:t>
      </w:r>
    </w:p>
    <w:p w14:paraId="1B38B6AE" w14:textId="77777777" w:rsidR="009B6C0D" w:rsidRPr="00D236CA" w:rsidRDefault="009B6C0D" w:rsidP="009B6C0D">
      <w:pPr>
        <w:spacing w:after="0"/>
      </w:pPr>
    </w:p>
    <w:p w14:paraId="05408C70" w14:textId="1DBA9D7E" w:rsidR="0098274C" w:rsidRPr="00750CA9" w:rsidRDefault="003B4F1C" w:rsidP="009B6C0D">
      <w:pPr>
        <w:spacing w:after="0"/>
        <w:rPr>
          <w:rFonts w:ascii="Arial" w:hAnsi="Arial"/>
          <w:sz w:val="22"/>
        </w:rPr>
      </w:pPr>
      <w:r>
        <w:t xml:space="preserve">Pour répondre aux questions ci-dessous, se reporter aux </w:t>
      </w:r>
      <w:r>
        <w:rPr>
          <w:i/>
        </w:rPr>
        <w:t xml:space="preserve">Instructions </w:t>
      </w:r>
      <w:r>
        <w:t xml:space="preserve">et au(x) </w:t>
      </w:r>
      <w:r>
        <w:rPr>
          <w:b/>
        </w:rPr>
        <w:t>tableau(x) des données essentielles</w:t>
      </w:r>
      <w:r>
        <w:t>.</w:t>
      </w:r>
      <w:r>
        <w:rPr>
          <w:b/>
        </w:rPr>
        <w:t xml:space="preserve"> </w:t>
      </w:r>
    </w:p>
    <w:p w14:paraId="18584522" w14:textId="77777777" w:rsidR="0098274C" w:rsidRPr="00D236CA" w:rsidRDefault="0098274C" w:rsidP="009B6C0D">
      <w:pPr>
        <w:spacing w:after="0"/>
      </w:pPr>
    </w:p>
    <w:p w14:paraId="0D60F5C8" w14:textId="323AE5EE" w:rsidR="0098274C" w:rsidRPr="00D236CA" w:rsidRDefault="0098274C" w:rsidP="00E80CEF">
      <w:pPr>
        <w:pStyle w:val="Heading2"/>
        <w:numPr>
          <w:ilvl w:val="1"/>
          <w:numId w:val="24"/>
        </w:numPr>
        <w:shd w:val="clear" w:color="auto" w:fill="D9D9D9" w:themeFill="background1" w:themeFillShade="D9"/>
        <w:spacing w:before="0"/>
        <w:contextualSpacing/>
      </w:pPr>
      <w:r w:rsidRPr="005305D5">
        <w:t>Principaux documents de référence concernant le contexte du pays</w:t>
      </w:r>
    </w:p>
    <w:p w14:paraId="4188E57B" w14:textId="77777777" w:rsidR="009B6C0D" w:rsidRPr="00D236CA" w:rsidRDefault="009B6C0D" w:rsidP="009B6C0D">
      <w:pPr>
        <w:spacing w:after="0"/>
      </w:pPr>
    </w:p>
    <w:p w14:paraId="5BC1B79F" w14:textId="4349CE4B" w:rsidR="0098274C" w:rsidRPr="00750CA9" w:rsidRDefault="00515F88" w:rsidP="009B6C0D">
      <w:pPr>
        <w:spacing w:after="0"/>
        <w:rPr>
          <w:rFonts w:ascii="Arial" w:hAnsi="Arial"/>
          <w:sz w:val="22"/>
        </w:rPr>
      </w:pPr>
      <w:r>
        <w:t>Énumérer les principaux documents de référence</w:t>
      </w:r>
      <w:r w:rsidRPr="00D1577B">
        <w:t xml:space="preserve"> </w:t>
      </w:r>
      <w:r>
        <w:rPr>
          <w:u w:val="single"/>
        </w:rPr>
        <w:t>cités dans la présente demande de financement</w:t>
      </w:r>
      <w:r>
        <w:t xml:space="preserve"> qui fournissent des informations contextuelles transversales et propres aux maladies concernant le pays. Les </w:t>
      </w:r>
      <w:r>
        <w:rPr>
          <w:i/>
        </w:rPr>
        <w:t xml:space="preserve">Instructions </w:t>
      </w:r>
      <w:r>
        <w:t>contiennent une liste des types de documents pouvant être utilisés.</w:t>
      </w:r>
    </w:p>
    <w:p w14:paraId="047EDC28" w14:textId="3B297EDC" w:rsidR="0098274C" w:rsidRDefault="0098274C" w:rsidP="009B6C0D">
      <w:pPr>
        <w:pStyle w:val="ListParagraph"/>
        <w:spacing w:after="0"/>
      </w:pPr>
    </w:p>
    <w:tbl>
      <w:tblPr>
        <w:tblW w:w="5068" w:type="pct"/>
        <w:tblCellMar>
          <w:left w:w="70" w:type="dxa"/>
          <w:right w:w="70" w:type="dxa"/>
        </w:tblCellMar>
        <w:tblLook w:val="04A0" w:firstRow="1" w:lastRow="0" w:firstColumn="1" w:lastColumn="0" w:noHBand="0" w:noVBand="1"/>
      </w:tblPr>
      <w:tblGrid>
        <w:gridCol w:w="1153"/>
        <w:gridCol w:w="1097"/>
        <w:gridCol w:w="4828"/>
        <w:gridCol w:w="2430"/>
        <w:gridCol w:w="1085"/>
      </w:tblGrid>
      <w:tr w:rsidR="00BC08DB" w:rsidRPr="00BC08DB" w14:paraId="1A35CA03" w14:textId="77777777" w:rsidTr="00BC08DB">
        <w:trPr>
          <w:trHeight w:val="1070"/>
        </w:trPr>
        <w:tc>
          <w:tcPr>
            <w:tcW w:w="544" w:type="pct"/>
            <w:tcBorders>
              <w:top w:val="single" w:sz="8" w:space="0" w:color="auto"/>
              <w:left w:val="single" w:sz="8" w:space="0" w:color="auto"/>
              <w:bottom w:val="nil"/>
              <w:right w:val="single" w:sz="4" w:space="0" w:color="auto"/>
            </w:tcBorders>
            <w:shd w:val="clear" w:color="000000" w:fill="B7DEE8"/>
            <w:vAlign w:val="center"/>
            <w:hideMark/>
          </w:tcPr>
          <w:p w14:paraId="1DBF5288" w14:textId="77777777" w:rsidR="00BC08DB" w:rsidRPr="00BC08DB" w:rsidRDefault="00BC08DB" w:rsidP="00BC08DB">
            <w:pPr>
              <w:spacing w:after="0" w:line="240" w:lineRule="auto"/>
              <w:jc w:val="center"/>
              <w:rPr>
                <w:rFonts w:eastAsia="Times New Roman" w:cstheme="minorHAnsi"/>
                <w:b/>
                <w:bCs/>
                <w:lang w:eastAsia="fr-FR"/>
              </w:rPr>
            </w:pPr>
            <w:r w:rsidRPr="00BC08DB">
              <w:rPr>
                <w:rFonts w:eastAsia="Times New Roman" w:cstheme="minorHAnsi"/>
                <w:b/>
                <w:bCs/>
                <w:lang w:eastAsia="fr-FR"/>
              </w:rPr>
              <w:t xml:space="preserve">Funding </w:t>
            </w:r>
            <w:proofErr w:type="spellStart"/>
            <w:r w:rsidRPr="00BC08DB">
              <w:rPr>
                <w:rFonts w:eastAsia="Times New Roman" w:cstheme="minorHAnsi"/>
                <w:b/>
                <w:bCs/>
                <w:lang w:eastAsia="fr-FR"/>
              </w:rPr>
              <w:t>Request</w:t>
            </w:r>
            <w:proofErr w:type="spellEnd"/>
            <w:r w:rsidRPr="00BC08DB">
              <w:rPr>
                <w:rFonts w:eastAsia="Times New Roman" w:cstheme="minorHAnsi"/>
                <w:b/>
                <w:bCs/>
                <w:lang w:eastAsia="fr-FR"/>
              </w:rPr>
              <w:t xml:space="preserve"> Section </w:t>
            </w:r>
          </w:p>
        </w:tc>
        <w:tc>
          <w:tcPr>
            <w:tcW w:w="518" w:type="pct"/>
            <w:tcBorders>
              <w:top w:val="single" w:sz="8" w:space="0" w:color="auto"/>
              <w:left w:val="nil"/>
              <w:bottom w:val="nil"/>
              <w:right w:val="single" w:sz="4" w:space="0" w:color="auto"/>
            </w:tcBorders>
            <w:shd w:val="clear" w:color="000000" w:fill="B7DEE8"/>
            <w:vAlign w:val="center"/>
            <w:hideMark/>
          </w:tcPr>
          <w:p w14:paraId="4FCDE793" w14:textId="77777777" w:rsidR="00BC08DB" w:rsidRPr="00BC08DB" w:rsidRDefault="00BC08DB" w:rsidP="00BC08DB">
            <w:pPr>
              <w:spacing w:after="0" w:line="240" w:lineRule="auto"/>
              <w:jc w:val="center"/>
              <w:rPr>
                <w:rFonts w:eastAsia="Times New Roman" w:cstheme="minorHAnsi"/>
                <w:b/>
                <w:bCs/>
                <w:lang w:eastAsia="fr-FR"/>
              </w:rPr>
            </w:pPr>
            <w:r w:rsidRPr="00BC08DB">
              <w:rPr>
                <w:rFonts w:eastAsia="Times New Roman" w:cstheme="minorHAnsi"/>
                <w:b/>
                <w:bCs/>
                <w:lang w:eastAsia="fr-FR"/>
              </w:rPr>
              <w:t xml:space="preserve">Annex </w:t>
            </w:r>
            <w:proofErr w:type="spellStart"/>
            <w:r w:rsidRPr="00BC08DB">
              <w:rPr>
                <w:rFonts w:eastAsia="Times New Roman" w:cstheme="minorHAnsi"/>
                <w:b/>
                <w:bCs/>
                <w:lang w:eastAsia="fr-FR"/>
              </w:rPr>
              <w:t>Number</w:t>
            </w:r>
            <w:proofErr w:type="spellEnd"/>
          </w:p>
        </w:tc>
        <w:tc>
          <w:tcPr>
            <w:tcW w:w="2279" w:type="pct"/>
            <w:tcBorders>
              <w:top w:val="single" w:sz="8" w:space="0" w:color="auto"/>
              <w:left w:val="nil"/>
              <w:bottom w:val="nil"/>
              <w:right w:val="single" w:sz="4" w:space="0" w:color="auto"/>
            </w:tcBorders>
            <w:shd w:val="clear" w:color="000000" w:fill="B7DEE8"/>
            <w:vAlign w:val="center"/>
            <w:hideMark/>
          </w:tcPr>
          <w:p w14:paraId="2939C6C6" w14:textId="77777777" w:rsidR="00BC08DB" w:rsidRPr="00BC08DB" w:rsidRDefault="00BC08DB" w:rsidP="00BC08DB">
            <w:pPr>
              <w:spacing w:after="0" w:line="240" w:lineRule="auto"/>
              <w:jc w:val="center"/>
              <w:rPr>
                <w:rFonts w:eastAsia="Times New Roman" w:cstheme="minorHAnsi"/>
                <w:b/>
                <w:bCs/>
                <w:lang w:eastAsia="fr-FR"/>
              </w:rPr>
            </w:pPr>
            <w:r w:rsidRPr="00BC08DB">
              <w:rPr>
                <w:rFonts w:eastAsia="Times New Roman" w:cstheme="minorHAnsi"/>
                <w:b/>
                <w:bCs/>
                <w:lang w:eastAsia="fr-FR"/>
              </w:rPr>
              <w:t xml:space="preserve">Document </w:t>
            </w:r>
            <w:proofErr w:type="spellStart"/>
            <w:r w:rsidRPr="00BC08DB">
              <w:rPr>
                <w:rFonts w:eastAsia="Times New Roman" w:cstheme="minorHAnsi"/>
                <w:b/>
                <w:bCs/>
                <w:lang w:eastAsia="fr-FR"/>
              </w:rPr>
              <w:t>Title</w:t>
            </w:r>
            <w:proofErr w:type="spellEnd"/>
          </w:p>
        </w:tc>
        <w:tc>
          <w:tcPr>
            <w:tcW w:w="1147" w:type="pct"/>
            <w:tcBorders>
              <w:top w:val="single" w:sz="8" w:space="0" w:color="auto"/>
              <w:left w:val="nil"/>
              <w:bottom w:val="nil"/>
              <w:right w:val="single" w:sz="4" w:space="0" w:color="auto"/>
            </w:tcBorders>
            <w:shd w:val="clear" w:color="000000" w:fill="B7DEE8"/>
            <w:vAlign w:val="center"/>
            <w:hideMark/>
          </w:tcPr>
          <w:p w14:paraId="288B61A3" w14:textId="77777777" w:rsidR="00BC08DB" w:rsidRPr="00BC08DB" w:rsidRDefault="00BC08DB" w:rsidP="00BC08DB">
            <w:pPr>
              <w:spacing w:after="0" w:line="240" w:lineRule="auto"/>
              <w:jc w:val="center"/>
              <w:rPr>
                <w:rFonts w:eastAsia="Times New Roman" w:cstheme="minorHAnsi"/>
                <w:b/>
                <w:bCs/>
                <w:lang w:eastAsia="fr-FR"/>
              </w:rPr>
            </w:pPr>
            <w:r w:rsidRPr="00BC08DB">
              <w:rPr>
                <w:rFonts w:eastAsia="Times New Roman" w:cstheme="minorHAnsi"/>
                <w:b/>
                <w:bCs/>
                <w:lang w:eastAsia="fr-FR"/>
              </w:rPr>
              <w:t>Exact Page Reference</w:t>
            </w:r>
          </w:p>
        </w:tc>
        <w:tc>
          <w:tcPr>
            <w:tcW w:w="512" w:type="pct"/>
            <w:tcBorders>
              <w:top w:val="single" w:sz="8" w:space="0" w:color="auto"/>
              <w:left w:val="nil"/>
              <w:bottom w:val="nil"/>
              <w:right w:val="single" w:sz="4" w:space="0" w:color="auto"/>
            </w:tcBorders>
            <w:shd w:val="clear" w:color="000000" w:fill="B7DEE8"/>
            <w:vAlign w:val="center"/>
            <w:hideMark/>
          </w:tcPr>
          <w:p w14:paraId="062D7D8A" w14:textId="77777777" w:rsidR="00BC08DB" w:rsidRPr="00BC08DB" w:rsidRDefault="00BC08DB" w:rsidP="00BC08DB">
            <w:pPr>
              <w:spacing w:after="0" w:line="240" w:lineRule="auto"/>
              <w:jc w:val="center"/>
              <w:rPr>
                <w:rFonts w:eastAsia="Times New Roman" w:cstheme="minorHAnsi"/>
                <w:b/>
                <w:bCs/>
                <w:lang w:eastAsia="fr-FR"/>
              </w:rPr>
            </w:pPr>
            <w:proofErr w:type="spellStart"/>
            <w:r w:rsidRPr="00BC08DB">
              <w:rPr>
                <w:rFonts w:eastAsia="Times New Roman" w:cstheme="minorHAnsi"/>
                <w:b/>
                <w:bCs/>
                <w:lang w:eastAsia="fr-FR"/>
              </w:rPr>
              <w:t>Language</w:t>
            </w:r>
            <w:proofErr w:type="spellEnd"/>
          </w:p>
        </w:tc>
      </w:tr>
      <w:tr w:rsidR="00BC08DB" w:rsidRPr="00BC08DB" w14:paraId="2A18903F" w14:textId="77777777" w:rsidTr="00BC08DB">
        <w:trPr>
          <w:trHeight w:val="710"/>
        </w:trPr>
        <w:tc>
          <w:tcPr>
            <w:tcW w:w="5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939561"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r w:rsidRPr="00BC08DB">
              <w:rPr>
                <w:rFonts w:eastAsia="Times New Roman" w:cstheme="minorHAnsi"/>
                <w:lang w:eastAsia="fr-FR"/>
              </w:rPr>
              <w:br/>
              <w:t>1.3</w:t>
            </w:r>
          </w:p>
        </w:tc>
        <w:tc>
          <w:tcPr>
            <w:tcW w:w="518" w:type="pct"/>
            <w:tcBorders>
              <w:top w:val="single" w:sz="4" w:space="0" w:color="auto"/>
              <w:left w:val="nil"/>
              <w:bottom w:val="single" w:sz="4" w:space="0" w:color="auto"/>
              <w:right w:val="single" w:sz="4" w:space="0" w:color="auto"/>
            </w:tcBorders>
            <w:shd w:val="clear" w:color="000000" w:fill="D9D9D9"/>
            <w:noWrap/>
            <w:vAlign w:val="center"/>
            <w:hideMark/>
          </w:tcPr>
          <w:p w14:paraId="64D67E3B"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w:t>
            </w:r>
          </w:p>
        </w:tc>
        <w:tc>
          <w:tcPr>
            <w:tcW w:w="2279" w:type="pct"/>
            <w:tcBorders>
              <w:top w:val="single" w:sz="4" w:space="0" w:color="auto"/>
              <w:left w:val="nil"/>
              <w:bottom w:val="single" w:sz="4" w:space="0" w:color="auto"/>
              <w:right w:val="single" w:sz="4" w:space="0" w:color="auto"/>
            </w:tcBorders>
            <w:shd w:val="clear" w:color="000000" w:fill="FFFFFF"/>
            <w:vAlign w:val="center"/>
            <w:hideMark/>
          </w:tcPr>
          <w:p w14:paraId="13B58F07"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Rapport de Revue du Plan Stratégique National de Lutte contre le Sida et les IST 2016-2020 </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14:paraId="373CC11B"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Section 1.2 : p.26,27,28,40,55,63</w:t>
            </w:r>
            <w:r w:rsidRPr="00BC08DB">
              <w:rPr>
                <w:rFonts w:eastAsia="Times New Roman" w:cstheme="minorHAnsi"/>
                <w:lang w:eastAsia="fr-FR"/>
              </w:rPr>
              <w:br/>
              <w:t>Section 1.3 : p.15,63</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30C9002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1E395490" w14:textId="77777777" w:rsidTr="00BC08DB">
        <w:trPr>
          <w:trHeight w:val="408"/>
        </w:trPr>
        <w:tc>
          <w:tcPr>
            <w:tcW w:w="544" w:type="pct"/>
            <w:tcBorders>
              <w:top w:val="nil"/>
              <w:left w:val="single" w:sz="4" w:space="0" w:color="auto"/>
              <w:bottom w:val="single" w:sz="4" w:space="0" w:color="auto"/>
              <w:right w:val="single" w:sz="4" w:space="0" w:color="auto"/>
            </w:tcBorders>
            <w:shd w:val="clear" w:color="000000" w:fill="D9D9D9"/>
            <w:vAlign w:val="center"/>
            <w:hideMark/>
          </w:tcPr>
          <w:p w14:paraId="0B6288D2"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r w:rsidRPr="00BC08DB">
              <w:rPr>
                <w:rFonts w:eastAsia="Times New Roman" w:cstheme="minorHAnsi"/>
                <w:lang w:eastAsia="fr-FR"/>
              </w:rPr>
              <w:br/>
              <w:t>2.2</w:t>
            </w:r>
          </w:p>
        </w:tc>
        <w:tc>
          <w:tcPr>
            <w:tcW w:w="518" w:type="pct"/>
            <w:tcBorders>
              <w:top w:val="nil"/>
              <w:left w:val="nil"/>
              <w:bottom w:val="single" w:sz="4" w:space="0" w:color="auto"/>
              <w:right w:val="single" w:sz="4" w:space="0" w:color="auto"/>
            </w:tcBorders>
            <w:shd w:val="clear" w:color="000000" w:fill="D9D9D9"/>
            <w:noWrap/>
            <w:vAlign w:val="center"/>
            <w:hideMark/>
          </w:tcPr>
          <w:p w14:paraId="5E27A226"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w:t>
            </w:r>
          </w:p>
        </w:tc>
        <w:tc>
          <w:tcPr>
            <w:tcW w:w="2279" w:type="pct"/>
            <w:tcBorders>
              <w:top w:val="nil"/>
              <w:left w:val="nil"/>
              <w:bottom w:val="single" w:sz="4" w:space="0" w:color="auto"/>
              <w:right w:val="single" w:sz="4" w:space="0" w:color="auto"/>
            </w:tcBorders>
            <w:shd w:val="clear" w:color="000000" w:fill="FFFFFF"/>
            <w:vAlign w:val="center"/>
            <w:hideMark/>
          </w:tcPr>
          <w:p w14:paraId="31847F0C"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Côte </w:t>
            </w:r>
            <w:proofErr w:type="gramStart"/>
            <w:r w:rsidRPr="00BC08DB">
              <w:rPr>
                <w:rFonts w:eastAsia="Times New Roman" w:cstheme="minorHAnsi"/>
                <w:lang w:eastAsia="fr-FR"/>
              </w:rPr>
              <w:t>d'Ivoire:</w:t>
            </w:r>
            <w:proofErr w:type="gramEnd"/>
            <w:r w:rsidRPr="00BC08DB">
              <w:rPr>
                <w:rFonts w:eastAsia="Times New Roman" w:cstheme="minorHAnsi"/>
                <w:lang w:eastAsia="fr-FR"/>
              </w:rPr>
              <w:t xml:space="preserve"> 2020 HIV draft </w:t>
            </w:r>
            <w:proofErr w:type="spellStart"/>
            <w:r w:rsidRPr="00BC08DB">
              <w:rPr>
                <w:rFonts w:eastAsia="Times New Roman" w:cstheme="minorHAnsi"/>
                <w:lang w:eastAsia="fr-FR"/>
              </w:rPr>
              <w:t>Estimates</w:t>
            </w:r>
            <w:proofErr w:type="spellEnd"/>
            <w:r w:rsidRPr="00BC08DB">
              <w:rPr>
                <w:rFonts w:eastAsia="Times New Roman" w:cstheme="minorHAnsi"/>
                <w:lang w:eastAsia="fr-FR"/>
              </w:rPr>
              <w:t xml:space="preserve"> </w:t>
            </w:r>
          </w:p>
        </w:tc>
        <w:tc>
          <w:tcPr>
            <w:tcW w:w="1147" w:type="pct"/>
            <w:tcBorders>
              <w:top w:val="nil"/>
              <w:left w:val="nil"/>
              <w:bottom w:val="single" w:sz="4" w:space="0" w:color="auto"/>
              <w:right w:val="single" w:sz="4" w:space="0" w:color="auto"/>
            </w:tcBorders>
            <w:shd w:val="clear" w:color="auto" w:fill="auto"/>
            <w:vAlign w:val="center"/>
            <w:hideMark/>
          </w:tcPr>
          <w:p w14:paraId="430AB0C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tcBorders>
              <w:top w:val="nil"/>
              <w:left w:val="nil"/>
              <w:bottom w:val="single" w:sz="4" w:space="0" w:color="auto"/>
              <w:right w:val="single" w:sz="4" w:space="0" w:color="auto"/>
            </w:tcBorders>
            <w:shd w:val="clear" w:color="auto" w:fill="auto"/>
            <w:noWrap/>
            <w:vAlign w:val="center"/>
            <w:hideMark/>
          </w:tcPr>
          <w:p w14:paraId="0C2C655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Anglais</w:t>
            </w:r>
          </w:p>
        </w:tc>
      </w:tr>
      <w:tr w:rsidR="00BC08DB" w:rsidRPr="00BC08DB" w14:paraId="4B04B368" w14:textId="77777777" w:rsidTr="00BC08DB">
        <w:trPr>
          <w:trHeight w:val="784"/>
        </w:trPr>
        <w:tc>
          <w:tcPr>
            <w:tcW w:w="544" w:type="pct"/>
            <w:tcBorders>
              <w:top w:val="nil"/>
              <w:left w:val="single" w:sz="4" w:space="0" w:color="auto"/>
              <w:bottom w:val="single" w:sz="4" w:space="0" w:color="auto"/>
              <w:right w:val="single" w:sz="4" w:space="0" w:color="auto"/>
            </w:tcBorders>
            <w:shd w:val="clear" w:color="000000" w:fill="D9D9D9"/>
            <w:vAlign w:val="center"/>
            <w:hideMark/>
          </w:tcPr>
          <w:p w14:paraId="186DDF7F"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r w:rsidRPr="00BC08DB">
              <w:rPr>
                <w:rFonts w:eastAsia="Times New Roman" w:cstheme="minorHAnsi"/>
                <w:lang w:eastAsia="fr-FR"/>
              </w:rPr>
              <w:br/>
              <w:t>2.1</w:t>
            </w:r>
            <w:r w:rsidRPr="00BC08DB">
              <w:rPr>
                <w:rFonts w:eastAsia="Times New Roman" w:cstheme="minorHAnsi"/>
                <w:lang w:eastAsia="fr-FR"/>
              </w:rPr>
              <w:br/>
              <w:t>2.2</w:t>
            </w:r>
          </w:p>
        </w:tc>
        <w:tc>
          <w:tcPr>
            <w:tcW w:w="518" w:type="pct"/>
            <w:tcBorders>
              <w:top w:val="nil"/>
              <w:left w:val="nil"/>
              <w:bottom w:val="single" w:sz="4" w:space="0" w:color="auto"/>
              <w:right w:val="single" w:sz="4" w:space="0" w:color="auto"/>
            </w:tcBorders>
            <w:shd w:val="clear" w:color="000000" w:fill="D9D9D9"/>
            <w:noWrap/>
            <w:vAlign w:val="center"/>
            <w:hideMark/>
          </w:tcPr>
          <w:p w14:paraId="4A23D40B"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w:t>
            </w:r>
          </w:p>
        </w:tc>
        <w:tc>
          <w:tcPr>
            <w:tcW w:w="2279" w:type="pct"/>
            <w:tcBorders>
              <w:top w:val="nil"/>
              <w:left w:val="nil"/>
              <w:bottom w:val="single" w:sz="4" w:space="0" w:color="auto"/>
              <w:right w:val="single" w:sz="4" w:space="0" w:color="auto"/>
            </w:tcBorders>
            <w:shd w:val="clear" w:color="000000" w:fill="FFFFFF"/>
            <w:vAlign w:val="center"/>
            <w:hideMark/>
          </w:tcPr>
          <w:p w14:paraId="5B8A79B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Plan Stratégique National de lutte contre le VIH, le sida et les infections sexuellement transmissibles 2021-2025</w:t>
            </w:r>
          </w:p>
        </w:tc>
        <w:tc>
          <w:tcPr>
            <w:tcW w:w="1147" w:type="pct"/>
            <w:tcBorders>
              <w:top w:val="nil"/>
              <w:left w:val="nil"/>
              <w:bottom w:val="single" w:sz="4" w:space="0" w:color="auto"/>
              <w:right w:val="single" w:sz="4" w:space="0" w:color="auto"/>
            </w:tcBorders>
            <w:shd w:val="clear" w:color="auto" w:fill="auto"/>
            <w:vAlign w:val="center"/>
            <w:hideMark/>
          </w:tcPr>
          <w:p w14:paraId="6A6C6BDF"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Section 1.2 : p.12</w:t>
            </w:r>
            <w:r w:rsidRPr="00BC08DB">
              <w:rPr>
                <w:rFonts w:eastAsia="Times New Roman" w:cstheme="minorHAnsi"/>
                <w:lang w:eastAsia="fr-FR"/>
              </w:rPr>
              <w:br/>
              <w:t>Section 2.1 : p.37,38</w:t>
            </w:r>
            <w:r w:rsidRPr="00BC08DB">
              <w:rPr>
                <w:rFonts w:eastAsia="Times New Roman" w:cstheme="minorHAnsi"/>
                <w:lang w:eastAsia="fr-FR"/>
              </w:rPr>
              <w:br/>
              <w:t>Section 2.2 : p.13,23</w:t>
            </w:r>
          </w:p>
        </w:tc>
        <w:tc>
          <w:tcPr>
            <w:tcW w:w="512" w:type="pct"/>
            <w:tcBorders>
              <w:top w:val="nil"/>
              <w:left w:val="nil"/>
              <w:bottom w:val="single" w:sz="4" w:space="0" w:color="auto"/>
              <w:right w:val="single" w:sz="4" w:space="0" w:color="auto"/>
            </w:tcBorders>
            <w:shd w:val="clear" w:color="auto" w:fill="auto"/>
            <w:noWrap/>
            <w:vAlign w:val="center"/>
            <w:hideMark/>
          </w:tcPr>
          <w:p w14:paraId="5C7336A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66D0EFFC" w14:textId="77777777" w:rsidTr="00BC08DB">
        <w:trPr>
          <w:trHeight w:val="413"/>
        </w:trPr>
        <w:tc>
          <w:tcPr>
            <w:tcW w:w="544" w:type="pct"/>
            <w:tcBorders>
              <w:top w:val="nil"/>
              <w:left w:val="single" w:sz="4" w:space="0" w:color="auto"/>
              <w:bottom w:val="single" w:sz="4" w:space="0" w:color="auto"/>
              <w:right w:val="single" w:sz="4" w:space="0" w:color="auto"/>
            </w:tcBorders>
            <w:shd w:val="clear" w:color="000000" w:fill="D9D9D9"/>
            <w:vAlign w:val="center"/>
            <w:hideMark/>
          </w:tcPr>
          <w:p w14:paraId="0E637799"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r w:rsidRPr="00BC08DB">
              <w:rPr>
                <w:rFonts w:eastAsia="Times New Roman" w:cstheme="minorHAnsi"/>
                <w:lang w:eastAsia="fr-FR"/>
              </w:rPr>
              <w:br/>
              <w:t>2.2</w:t>
            </w:r>
          </w:p>
        </w:tc>
        <w:tc>
          <w:tcPr>
            <w:tcW w:w="518" w:type="pct"/>
            <w:tcBorders>
              <w:top w:val="nil"/>
              <w:left w:val="nil"/>
              <w:bottom w:val="single" w:sz="4" w:space="0" w:color="auto"/>
              <w:right w:val="single" w:sz="4" w:space="0" w:color="auto"/>
            </w:tcBorders>
            <w:shd w:val="clear" w:color="000000" w:fill="D9D9D9"/>
            <w:noWrap/>
            <w:vAlign w:val="center"/>
            <w:hideMark/>
          </w:tcPr>
          <w:p w14:paraId="18EFE1C1"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4</w:t>
            </w:r>
          </w:p>
        </w:tc>
        <w:tc>
          <w:tcPr>
            <w:tcW w:w="2279" w:type="pct"/>
            <w:tcBorders>
              <w:top w:val="nil"/>
              <w:left w:val="nil"/>
              <w:bottom w:val="single" w:sz="4" w:space="0" w:color="auto"/>
              <w:right w:val="single" w:sz="4" w:space="0" w:color="auto"/>
            </w:tcBorders>
            <w:shd w:val="clear" w:color="000000" w:fill="FFFFFF"/>
            <w:vAlign w:val="center"/>
            <w:hideMark/>
          </w:tcPr>
          <w:p w14:paraId="45B4734B" w14:textId="77777777" w:rsidR="00BC08DB" w:rsidRPr="00BC08DB" w:rsidRDefault="00BC08DB" w:rsidP="00BC08DB">
            <w:pPr>
              <w:spacing w:after="0" w:line="240" w:lineRule="auto"/>
              <w:rPr>
                <w:rFonts w:eastAsia="Times New Roman" w:cstheme="minorHAnsi"/>
                <w:lang w:eastAsia="fr-FR"/>
              </w:rPr>
            </w:pPr>
            <w:proofErr w:type="spellStart"/>
            <w:r w:rsidRPr="00BC08DB">
              <w:rPr>
                <w:rFonts w:eastAsia="Times New Roman" w:cstheme="minorHAnsi"/>
                <w:lang w:eastAsia="fr-FR"/>
              </w:rPr>
              <w:t>Summary</w:t>
            </w:r>
            <w:proofErr w:type="spellEnd"/>
            <w:r w:rsidRPr="00BC08DB">
              <w:rPr>
                <w:rFonts w:eastAsia="Times New Roman" w:cstheme="minorHAnsi"/>
                <w:lang w:eastAsia="fr-FR"/>
              </w:rPr>
              <w:t xml:space="preserve"> </w:t>
            </w:r>
            <w:proofErr w:type="spellStart"/>
            <w:proofErr w:type="gramStart"/>
            <w:r w:rsidRPr="00BC08DB">
              <w:rPr>
                <w:rFonts w:eastAsia="Times New Roman" w:cstheme="minorHAnsi"/>
                <w:lang w:eastAsia="fr-FR"/>
              </w:rPr>
              <w:t>Sheet</w:t>
            </w:r>
            <w:proofErr w:type="spellEnd"/>
            <w:r w:rsidRPr="00BC08DB">
              <w:rPr>
                <w:rFonts w:eastAsia="Times New Roman" w:cstheme="minorHAnsi"/>
                <w:lang w:eastAsia="fr-FR"/>
              </w:rPr>
              <w:t>:</w:t>
            </w:r>
            <w:proofErr w:type="gramEnd"/>
            <w:r w:rsidRPr="00BC08DB">
              <w:rPr>
                <w:rFonts w:eastAsia="Times New Roman" w:cstheme="minorHAnsi"/>
                <w:lang w:eastAsia="fr-FR"/>
              </w:rPr>
              <w:t xml:space="preserve"> Côte d'Ivoire Population-</w:t>
            </w:r>
            <w:proofErr w:type="spellStart"/>
            <w:r w:rsidRPr="00BC08DB">
              <w:rPr>
                <w:rFonts w:eastAsia="Times New Roman" w:cstheme="minorHAnsi"/>
                <w:lang w:eastAsia="fr-FR"/>
              </w:rPr>
              <w:t>Based</w:t>
            </w:r>
            <w:proofErr w:type="spellEnd"/>
            <w:r w:rsidRPr="00BC08DB">
              <w:rPr>
                <w:rFonts w:eastAsia="Times New Roman" w:cstheme="minorHAnsi"/>
                <w:lang w:eastAsia="fr-FR"/>
              </w:rPr>
              <w:t xml:space="preserve"> HIV Impact </w:t>
            </w:r>
            <w:proofErr w:type="spellStart"/>
            <w:r w:rsidRPr="00BC08DB">
              <w:rPr>
                <w:rFonts w:eastAsia="Times New Roman" w:cstheme="minorHAnsi"/>
                <w:lang w:eastAsia="fr-FR"/>
              </w:rPr>
              <w:t>Assessment</w:t>
            </w:r>
            <w:proofErr w:type="spellEnd"/>
            <w:r w:rsidRPr="00BC08DB">
              <w:rPr>
                <w:rFonts w:eastAsia="Times New Roman" w:cstheme="minorHAnsi"/>
                <w:lang w:eastAsia="fr-FR"/>
              </w:rPr>
              <w:t xml:space="preserve"> CIPHIA 2017-2018</w:t>
            </w:r>
          </w:p>
        </w:tc>
        <w:tc>
          <w:tcPr>
            <w:tcW w:w="1147" w:type="pct"/>
            <w:tcBorders>
              <w:top w:val="nil"/>
              <w:left w:val="nil"/>
              <w:bottom w:val="single" w:sz="4" w:space="0" w:color="auto"/>
              <w:right w:val="single" w:sz="4" w:space="0" w:color="auto"/>
            </w:tcBorders>
            <w:shd w:val="clear" w:color="auto" w:fill="auto"/>
            <w:vAlign w:val="center"/>
            <w:hideMark/>
          </w:tcPr>
          <w:p w14:paraId="36B7D75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Section 1.2 : p.1,2</w:t>
            </w:r>
            <w:r w:rsidRPr="00BC08DB">
              <w:rPr>
                <w:rFonts w:eastAsia="Times New Roman" w:cstheme="minorHAnsi"/>
                <w:lang w:eastAsia="fr-FR"/>
              </w:rPr>
              <w:br/>
              <w:t>Section 2.2 : p.1</w:t>
            </w:r>
          </w:p>
        </w:tc>
        <w:tc>
          <w:tcPr>
            <w:tcW w:w="512" w:type="pct"/>
            <w:tcBorders>
              <w:top w:val="nil"/>
              <w:left w:val="nil"/>
              <w:bottom w:val="single" w:sz="4" w:space="0" w:color="auto"/>
              <w:right w:val="single" w:sz="4" w:space="0" w:color="auto"/>
            </w:tcBorders>
            <w:shd w:val="clear" w:color="auto" w:fill="auto"/>
            <w:noWrap/>
            <w:vAlign w:val="center"/>
            <w:hideMark/>
          </w:tcPr>
          <w:p w14:paraId="45CD0F4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Anglais</w:t>
            </w:r>
          </w:p>
        </w:tc>
      </w:tr>
      <w:tr w:rsidR="00BC08DB" w:rsidRPr="00BC08DB" w14:paraId="4D5986A8" w14:textId="77777777" w:rsidTr="00BC08DB">
        <w:trPr>
          <w:trHeight w:val="801"/>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78938FC7"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4FFFC173"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5</w:t>
            </w:r>
          </w:p>
        </w:tc>
        <w:tc>
          <w:tcPr>
            <w:tcW w:w="2279" w:type="pct"/>
            <w:tcBorders>
              <w:top w:val="nil"/>
              <w:left w:val="nil"/>
              <w:bottom w:val="single" w:sz="4" w:space="0" w:color="auto"/>
              <w:right w:val="single" w:sz="4" w:space="0" w:color="auto"/>
            </w:tcBorders>
            <w:shd w:val="clear" w:color="000000" w:fill="FFFFFF"/>
            <w:vAlign w:val="center"/>
            <w:hideMark/>
          </w:tcPr>
          <w:p w14:paraId="21AD31DF" w14:textId="77777777" w:rsidR="00BC08DB" w:rsidRPr="00BC08DB" w:rsidRDefault="00BC08DB" w:rsidP="00BC08DB">
            <w:pPr>
              <w:spacing w:after="0" w:line="240" w:lineRule="auto"/>
              <w:rPr>
                <w:rFonts w:eastAsia="Times New Roman" w:cstheme="minorHAnsi"/>
                <w:lang w:eastAsia="fr-FR"/>
              </w:rPr>
            </w:pPr>
            <w:proofErr w:type="spellStart"/>
            <w:r w:rsidRPr="00BC08DB">
              <w:rPr>
                <w:rFonts w:eastAsia="Times New Roman" w:cstheme="minorHAnsi"/>
                <w:lang w:eastAsia="fr-FR"/>
              </w:rPr>
              <w:t>Sexual</w:t>
            </w:r>
            <w:proofErr w:type="spellEnd"/>
            <w:r w:rsidRPr="00BC08DB">
              <w:rPr>
                <w:rFonts w:eastAsia="Times New Roman" w:cstheme="minorHAnsi"/>
                <w:lang w:eastAsia="fr-FR"/>
              </w:rPr>
              <w:t xml:space="preserve"> health </w:t>
            </w:r>
            <w:proofErr w:type="spellStart"/>
            <w:r w:rsidRPr="00BC08DB">
              <w:rPr>
                <w:rFonts w:eastAsia="Times New Roman" w:cstheme="minorHAnsi"/>
                <w:lang w:eastAsia="fr-FR"/>
              </w:rPr>
              <w:t>needs</w:t>
            </w:r>
            <w:proofErr w:type="spellEnd"/>
            <w:r w:rsidRPr="00BC08DB">
              <w:rPr>
                <w:rFonts w:eastAsia="Times New Roman" w:cstheme="minorHAnsi"/>
                <w:lang w:eastAsia="fr-FR"/>
              </w:rPr>
              <w:t xml:space="preserve"> of </w:t>
            </w:r>
            <w:proofErr w:type="spellStart"/>
            <w:r w:rsidRPr="00BC08DB">
              <w:rPr>
                <w:rFonts w:eastAsia="Times New Roman" w:cstheme="minorHAnsi"/>
                <w:lang w:eastAsia="fr-FR"/>
              </w:rPr>
              <w:t>female</w:t>
            </w:r>
            <w:proofErr w:type="spellEnd"/>
            <w:r w:rsidRPr="00BC08DB">
              <w:rPr>
                <w:rFonts w:eastAsia="Times New Roman" w:cstheme="minorHAnsi"/>
                <w:lang w:eastAsia="fr-FR"/>
              </w:rPr>
              <w:t xml:space="preserve"> </w:t>
            </w:r>
            <w:proofErr w:type="spellStart"/>
            <w:r w:rsidRPr="00BC08DB">
              <w:rPr>
                <w:rFonts w:eastAsia="Times New Roman" w:cstheme="minorHAnsi"/>
                <w:lang w:eastAsia="fr-FR"/>
              </w:rPr>
              <w:t>sex</w:t>
            </w:r>
            <w:proofErr w:type="spellEnd"/>
            <w:r w:rsidRPr="00BC08DB">
              <w:rPr>
                <w:rFonts w:eastAsia="Times New Roman" w:cstheme="minorHAnsi"/>
                <w:lang w:eastAsia="fr-FR"/>
              </w:rPr>
              <w:t xml:space="preserve"> </w:t>
            </w:r>
            <w:proofErr w:type="spellStart"/>
            <w:r w:rsidRPr="00BC08DB">
              <w:rPr>
                <w:rFonts w:eastAsia="Times New Roman" w:cstheme="minorHAnsi"/>
                <w:lang w:eastAsia="fr-FR"/>
              </w:rPr>
              <w:t>workers</w:t>
            </w:r>
            <w:proofErr w:type="spellEnd"/>
            <w:r w:rsidRPr="00BC08DB">
              <w:rPr>
                <w:rFonts w:eastAsia="Times New Roman" w:cstheme="minorHAnsi"/>
                <w:lang w:eastAsia="fr-FR"/>
              </w:rPr>
              <w:t xml:space="preserve"> in Côte </w:t>
            </w:r>
            <w:proofErr w:type="gramStart"/>
            <w:r w:rsidRPr="00BC08DB">
              <w:rPr>
                <w:rFonts w:eastAsia="Times New Roman" w:cstheme="minorHAnsi"/>
                <w:lang w:eastAsia="fr-FR"/>
              </w:rPr>
              <w:t>d’Ivoire:</w:t>
            </w:r>
            <w:proofErr w:type="gramEnd"/>
            <w:r w:rsidRPr="00BC08DB">
              <w:rPr>
                <w:rFonts w:eastAsia="Times New Roman" w:cstheme="minorHAnsi"/>
                <w:lang w:eastAsia="fr-FR"/>
              </w:rPr>
              <w:t xml:space="preserve"> </w:t>
            </w:r>
            <w:proofErr w:type="spellStart"/>
            <w:r w:rsidRPr="00BC08DB">
              <w:rPr>
                <w:rFonts w:eastAsia="Times New Roman" w:cstheme="minorHAnsi"/>
                <w:lang w:eastAsia="fr-FR"/>
              </w:rPr>
              <w:t>a</w:t>
            </w:r>
            <w:proofErr w:type="spellEnd"/>
            <w:r w:rsidRPr="00BC08DB">
              <w:rPr>
                <w:rFonts w:eastAsia="Times New Roman" w:cstheme="minorHAnsi"/>
                <w:lang w:eastAsia="fr-FR"/>
              </w:rPr>
              <w:t xml:space="preserve"> </w:t>
            </w:r>
            <w:proofErr w:type="spellStart"/>
            <w:r w:rsidRPr="00BC08DB">
              <w:rPr>
                <w:rFonts w:eastAsia="Times New Roman" w:cstheme="minorHAnsi"/>
                <w:lang w:eastAsia="fr-FR"/>
              </w:rPr>
              <w:t>mixedmethods</w:t>
            </w:r>
            <w:proofErr w:type="spellEnd"/>
            <w:r w:rsidRPr="00BC08DB">
              <w:rPr>
                <w:rFonts w:eastAsia="Times New Roman" w:cstheme="minorHAnsi"/>
                <w:lang w:eastAsia="fr-FR"/>
              </w:rPr>
              <w:t xml:space="preserve"> </w:t>
            </w:r>
            <w:proofErr w:type="spellStart"/>
            <w:r w:rsidRPr="00BC08DB">
              <w:rPr>
                <w:rFonts w:eastAsia="Times New Roman" w:cstheme="minorHAnsi"/>
                <w:lang w:eastAsia="fr-FR"/>
              </w:rPr>
              <w:t>study</w:t>
            </w:r>
            <w:proofErr w:type="spellEnd"/>
            <w:r w:rsidRPr="00BC08DB">
              <w:rPr>
                <w:rFonts w:eastAsia="Times New Roman" w:cstheme="minorHAnsi"/>
                <w:lang w:eastAsia="fr-FR"/>
              </w:rPr>
              <w:t xml:space="preserve"> to </w:t>
            </w:r>
            <w:proofErr w:type="spellStart"/>
            <w:r w:rsidRPr="00BC08DB">
              <w:rPr>
                <w:rFonts w:eastAsia="Times New Roman" w:cstheme="minorHAnsi"/>
                <w:lang w:eastAsia="fr-FR"/>
              </w:rPr>
              <w:t>prepare</w:t>
            </w:r>
            <w:proofErr w:type="spellEnd"/>
            <w:r w:rsidRPr="00BC08DB">
              <w:rPr>
                <w:rFonts w:eastAsia="Times New Roman" w:cstheme="minorHAnsi"/>
                <w:lang w:eastAsia="fr-FR"/>
              </w:rPr>
              <w:t xml:space="preserve"> the future </w:t>
            </w:r>
            <w:proofErr w:type="spellStart"/>
            <w:r w:rsidRPr="00BC08DB">
              <w:rPr>
                <w:rFonts w:eastAsia="Times New Roman" w:cstheme="minorHAnsi"/>
                <w:lang w:eastAsia="fr-FR"/>
              </w:rPr>
              <w:t>implementation</w:t>
            </w:r>
            <w:proofErr w:type="spellEnd"/>
            <w:r w:rsidRPr="00BC08DB">
              <w:rPr>
                <w:rFonts w:eastAsia="Times New Roman" w:cstheme="minorHAnsi"/>
                <w:lang w:eastAsia="fr-FR"/>
              </w:rPr>
              <w:t xml:space="preserve"> of </w:t>
            </w:r>
            <w:proofErr w:type="spellStart"/>
            <w:r w:rsidRPr="00BC08DB">
              <w:rPr>
                <w:rFonts w:eastAsia="Times New Roman" w:cstheme="minorHAnsi"/>
                <w:lang w:eastAsia="fr-FR"/>
              </w:rPr>
              <w:t>pre-exposure</w:t>
            </w:r>
            <w:proofErr w:type="spellEnd"/>
            <w:r w:rsidRPr="00BC08DB">
              <w:rPr>
                <w:rFonts w:eastAsia="Times New Roman" w:cstheme="minorHAnsi"/>
                <w:lang w:eastAsia="fr-FR"/>
              </w:rPr>
              <w:t xml:space="preserve"> </w:t>
            </w:r>
            <w:proofErr w:type="spellStart"/>
            <w:r w:rsidRPr="00BC08DB">
              <w:rPr>
                <w:rFonts w:eastAsia="Times New Roman" w:cstheme="minorHAnsi"/>
                <w:lang w:eastAsia="fr-FR"/>
              </w:rPr>
              <w:t>prophylaxis</w:t>
            </w:r>
            <w:proofErr w:type="spellEnd"/>
            <w:r w:rsidRPr="00BC08DB">
              <w:rPr>
                <w:rFonts w:eastAsia="Times New Roman" w:cstheme="minorHAnsi"/>
                <w:lang w:eastAsia="fr-FR"/>
              </w:rPr>
              <w:t xml:space="preserve"> (</w:t>
            </w:r>
            <w:proofErr w:type="spellStart"/>
            <w:r w:rsidRPr="00BC08DB">
              <w:rPr>
                <w:rFonts w:eastAsia="Times New Roman" w:cstheme="minorHAnsi"/>
                <w:lang w:eastAsia="fr-FR"/>
              </w:rPr>
              <w:t>PrEP</w:t>
            </w:r>
            <w:proofErr w:type="spellEnd"/>
            <w:r w:rsidRPr="00BC08DB">
              <w:rPr>
                <w:rFonts w:eastAsia="Times New Roman" w:cstheme="minorHAnsi"/>
                <w:lang w:eastAsia="fr-FR"/>
              </w:rPr>
              <w:t xml:space="preserve">) for HIV </w:t>
            </w:r>
            <w:proofErr w:type="spellStart"/>
            <w:r w:rsidRPr="00BC08DB">
              <w:rPr>
                <w:rFonts w:eastAsia="Times New Roman" w:cstheme="minorHAnsi"/>
                <w:lang w:eastAsia="fr-FR"/>
              </w:rPr>
              <w:t>prevention</w:t>
            </w:r>
            <w:proofErr w:type="spellEnd"/>
          </w:p>
        </w:tc>
        <w:tc>
          <w:tcPr>
            <w:tcW w:w="1147" w:type="pct"/>
            <w:tcBorders>
              <w:top w:val="nil"/>
              <w:left w:val="nil"/>
              <w:bottom w:val="single" w:sz="4" w:space="0" w:color="auto"/>
              <w:right w:val="single" w:sz="4" w:space="0" w:color="auto"/>
            </w:tcBorders>
            <w:shd w:val="clear" w:color="000000" w:fill="FFFFFF"/>
            <w:vAlign w:val="center"/>
            <w:hideMark/>
          </w:tcPr>
          <w:p w14:paraId="0C5EEA5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p.9</w:t>
            </w:r>
          </w:p>
        </w:tc>
        <w:tc>
          <w:tcPr>
            <w:tcW w:w="512" w:type="pct"/>
            <w:tcBorders>
              <w:top w:val="nil"/>
              <w:left w:val="nil"/>
              <w:bottom w:val="single" w:sz="4" w:space="0" w:color="auto"/>
              <w:right w:val="single" w:sz="4" w:space="0" w:color="auto"/>
            </w:tcBorders>
            <w:shd w:val="clear" w:color="auto" w:fill="auto"/>
            <w:noWrap/>
            <w:vAlign w:val="center"/>
            <w:hideMark/>
          </w:tcPr>
          <w:p w14:paraId="3051CE0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Anglais</w:t>
            </w:r>
          </w:p>
        </w:tc>
      </w:tr>
      <w:tr w:rsidR="00BC08DB" w:rsidRPr="00BC08DB" w14:paraId="4EB848F6" w14:textId="77777777" w:rsidTr="00BC08DB">
        <w:trPr>
          <w:trHeight w:val="789"/>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7E8FC9FF"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6D453C36"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6</w:t>
            </w:r>
          </w:p>
        </w:tc>
        <w:tc>
          <w:tcPr>
            <w:tcW w:w="2279" w:type="pct"/>
            <w:tcBorders>
              <w:top w:val="nil"/>
              <w:left w:val="nil"/>
              <w:bottom w:val="single" w:sz="4" w:space="0" w:color="auto"/>
              <w:right w:val="single" w:sz="4" w:space="0" w:color="auto"/>
            </w:tcBorders>
            <w:shd w:val="clear" w:color="000000" w:fill="FFFFFF"/>
            <w:vAlign w:val="center"/>
            <w:hideMark/>
          </w:tcPr>
          <w:p w14:paraId="1423D82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J </w:t>
            </w:r>
            <w:proofErr w:type="spellStart"/>
            <w:r w:rsidRPr="00BC08DB">
              <w:rPr>
                <w:rFonts w:eastAsia="Times New Roman" w:cstheme="minorHAnsi"/>
                <w:lang w:eastAsia="fr-FR"/>
              </w:rPr>
              <w:t>Acquir</w:t>
            </w:r>
            <w:proofErr w:type="spellEnd"/>
            <w:r w:rsidRPr="00BC08DB">
              <w:rPr>
                <w:rFonts w:eastAsia="Times New Roman" w:cstheme="minorHAnsi"/>
                <w:lang w:eastAsia="fr-FR"/>
              </w:rPr>
              <w:t xml:space="preserve"> Immune </w:t>
            </w:r>
            <w:proofErr w:type="spellStart"/>
            <w:r w:rsidRPr="00BC08DB">
              <w:rPr>
                <w:rFonts w:eastAsia="Times New Roman" w:cstheme="minorHAnsi"/>
                <w:lang w:eastAsia="fr-FR"/>
              </w:rPr>
              <w:t>Deﬁc</w:t>
            </w:r>
            <w:proofErr w:type="spellEnd"/>
            <w:r w:rsidRPr="00BC08DB">
              <w:rPr>
                <w:rFonts w:eastAsia="Times New Roman" w:cstheme="minorHAnsi"/>
                <w:lang w:eastAsia="fr-FR"/>
              </w:rPr>
              <w:t xml:space="preserve"> </w:t>
            </w:r>
            <w:proofErr w:type="spellStart"/>
            <w:r w:rsidRPr="00BC08DB">
              <w:rPr>
                <w:rFonts w:eastAsia="Times New Roman" w:cstheme="minorHAnsi"/>
                <w:lang w:eastAsia="fr-FR"/>
              </w:rPr>
              <w:t>Syndr</w:t>
            </w:r>
            <w:proofErr w:type="spellEnd"/>
            <w:r w:rsidRPr="00BC08DB">
              <w:rPr>
                <w:rFonts w:eastAsia="Times New Roman" w:cstheme="minorHAnsi"/>
                <w:lang w:eastAsia="fr-FR"/>
              </w:rPr>
              <w:t xml:space="preserve">, Volume 75, </w:t>
            </w:r>
            <w:proofErr w:type="spellStart"/>
            <w:r w:rsidRPr="00BC08DB">
              <w:rPr>
                <w:rFonts w:eastAsia="Times New Roman" w:cstheme="minorHAnsi"/>
                <w:lang w:eastAsia="fr-FR"/>
              </w:rPr>
              <w:t>Number</w:t>
            </w:r>
            <w:proofErr w:type="spellEnd"/>
            <w:r w:rsidRPr="00BC08DB">
              <w:rPr>
                <w:rFonts w:eastAsia="Times New Roman" w:cstheme="minorHAnsi"/>
                <w:lang w:eastAsia="fr-FR"/>
              </w:rPr>
              <w:t xml:space="preserve"> 3, July 1, 2017 : Is </w:t>
            </w:r>
            <w:proofErr w:type="spellStart"/>
            <w:r w:rsidRPr="00BC08DB">
              <w:rPr>
                <w:rFonts w:eastAsia="Times New Roman" w:cstheme="minorHAnsi"/>
                <w:lang w:eastAsia="fr-FR"/>
              </w:rPr>
              <w:t>PrEP</w:t>
            </w:r>
            <w:proofErr w:type="spellEnd"/>
            <w:r w:rsidRPr="00BC08DB">
              <w:rPr>
                <w:rFonts w:eastAsia="Times New Roman" w:cstheme="minorHAnsi"/>
                <w:lang w:eastAsia="fr-FR"/>
              </w:rPr>
              <w:t xml:space="preserve"> Needed for MSM in West </w:t>
            </w:r>
            <w:proofErr w:type="gramStart"/>
            <w:r w:rsidRPr="00BC08DB">
              <w:rPr>
                <w:rFonts w:eastAsia="Times New Roman" w:cstheme="minorHAnsi"/>
                <w:lang w:eastAsia="fr-FR"/>
              </w:rPr>
              <w:t>Africa?</w:t>
            </w:r>
            <w:proofErr w:type="gramEnd"/>
            <w:r w:rsidRPr="00BC08DB">
              <w:rPr>
                <w:rFonts w:eastAsia="Times New Roman" w:cstheme="minorHAnsi"/>
                <w:lang w:eastAsia="fr-FR"/>
              </w:rPr>
              <w:t xml:space="preserve"> HIV Incidence in a Prospective </w:t>
            </w:r>
            <w:proofErr w:type="spellStart"/>
            <w:r w:rsidRPr="00BC08DB">
              <w:rPr>
                <w:rFonts w:eastAsia="Times New Roman" w:cstheme="minorHAnsi"/>
                <w:lang w:eastAsia="fr-FR"/>
              </w:rPr>
              <w:t>Multicountry</w:t>
            </w:r>
            <w:proofErr w:type="spellEnd"/>
            <w:r w:rsidRPr="00BC08DB">
              <w:rPr>
                <w:rFonts w:eastAsia="Times New Roman" w:cstheme="minorHAnsi"/>
                <w:lang w:eastAsia="fr-FR"/>
              </w:rPr>
              <w:t xml:space="preserve"> </w:t>
            </w:r>
            <w:proofErr w:type="spellStart"/>
            <w:r w:rsidRPr="00BC08DB">
              <w:rPr>
                <w:rFonts w:eastAsia="Times New Roman" w:cstheme="minorHAnsi"/>
                <w:lang w:eastAsia="fr-FR"/>
              </w:rPr>
              <w:t>Cohort</w:t>
            </w:r>
            <w:proofErr w:type="spellEnd"/>
          </w:p>
        </w:tc>
        <w:tc>
          <w:tcPr>
            <w:tcW w:w="1147" w:type="pct"/>
            <w:tcBorders>
              <w:top w:val="nil"/>
              <w:left w:val="nil"/>
              <w:bottom w:val="single" w:sz="4" w:space="0" w:color="auto"/>
              <w:right w:val="single" w:sz="4" w:space="0" w:color="auto"/>
            </w:tcBorders>
            <w:shd w:val="clear" w:color="000000" w:fill="FFFFFF"/>
            <w:vAlign w:val="center"/>
            <w:hideMark/>
          </w:tcPr>
          <w:p w14:paraId="3E27553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p.81</w:t>
            </w:r>
          </w:p>
        </w:tc>
        <w:tc>
          <w:tcPr>
            <w:tcW w:w="512" w:type="pct"/>
            <w:tcBorders>
              <w:top w:val="nil"/>
              <w:left w:val="nil"/>
              <w:bottom w:val="single" w:sz="4" w:space="0" w:color="auto"/>
              <w:right w:val="single" w:sz="4" w:space="0" w:color="auto"/>
            </w:tcBorders>
            <w:shd w:val="clear" w:color="auto" w:fill="auto"/>
            <w:noWrap/>
            <w:vAlign w:val="center"/>
            <w:hideMark/>
          </w:tcPr>
          <w:p w14:paraId="05FCCFB0"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Anglais</w:t>
            </w:r>
          </w:p>
        </w:tc>
      </w:tr>
      <w:tr w:rsidR="00BC08DB" w:rsidRPr="00BC08DB" w14:paraId="576861A1" w14:textId="77777777" w:rsidTr="00BC08DB">
        <w:trPr>
          <w:trHeight w:val="643"/>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0ED3DDC9"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70F02861"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7</w:t>
            </w:r>
          </w:p>
        </w:tc>
        <w:tc>
          <w:tcPr>
            <w:tcW w:w="2279" w:type="pct"/>
            <w:tcBorders>
              <w:top w:val="nil"/>
              <w:left w:val="nil"/>
              <w:bottom w:val="single" w:sz="4" w:space="0" w:color="auto"/>
              <w:right w:val="single" w:sz="4" w:space="0" w:color="auto"/>
            </w:tcBorders>
            <w:shd w:val="clear" w:color="000000" w:fill="FFFFFF"/>
            <w:vAlign w:val="center"/>
            <w:hideMark/>
          </w:tcPr>
          <w:p w14:paraId="484A1290"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Rapport à mi-</w:t>
            </w:r>
            <w:proofErr w:type="gramStart"/>
            <w:r w:rsidRPr="00BC08DB">
              <w:rPr>
                <w:rFonts w:eastAsia="Times New Roman" w:cstheme="minorHAnsi"/>
                <w:lang w:eastAsia="fr-FR"/>
              </w:rPr>
              <w:t>parcours:</w:t>
            </w:r>
            <w:proofErr w:type="gramEnd"/>
            <w:r w:rsidRPr="00BC08DB">
              <w:rPr>
                <w:rFonts w:eastAsia="Times New Roman" w:cstheme="minorHAnsi"/>
                <w:lang w:eastAsia="fr-FR"/>
              </w:rPr>
              <w:t xml:space="preserve"> Etude pour l’identification des besoins spécifiques en matière de prévention et prise en charge IST-VIH/sida chez les personnes transgenres à Abidjan – Côte d'Ivoire, 2020</w:t>
            </w:r>
          </w:p>
        </w:tc>
        <w:tc>
          <w:tcPr>
            <w:tcW w:w="1147" w:type="pct"/>
            <w:tcBorders>
              <w:top w:val="nil"/>
              <w:left w:val="nil"/>
              <w:bottom w:val="single" w:sz="4" w:space="0" w:color="auto"/>
              <w:right w:val="single" w:sz="4" w:space="0" w:color="auto"/>
            </w:tcBorders>
            <w:shd w:val="clear" w:color="000000" w:fill="FFFFFF"/>
            <w:vAlign w:val="center"/>
            <w:hideMark/>
          </w:tcPr>
          <w:p w14:paraId="5CB70BE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p.20</w:t>
            </w:r>
          </w:p>
        </w:tc>
        <w:tc>
          <w:tcPr>
            <w:tcW w:w="512" w:type="pct"/>
            <w:tcBorders>
              <w:top w:val="nil"/>
              <w:left w:val="nil"/>
              <w:bottom w:val="single" w:sz="4" w:space="0" w:color="auto"/>
              <w:right w:val="single" w:sz="4" w:space="0" w:color="auto"/>
            </w:tcBorders>
            <w:shd w:val="clear" w:color="auto" w:fill="auto"/>
            <w:noWrap/>
            <w:vAlign w:val="center"/>
            <w:hideMark/>
          </w:tcPr>
          <w:p w14:paraId="75519FB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053FFA7D" w14:textId="77777777" w:rsidTr="00BC08DB">
        <w:trPr>
          <w:trHeight w:val="416"/>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5A7641F7"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05CD90D4"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8</w:t>
            </w:r>
          </w:p>
        </w:tc>
        <w:tc>
          <w:tcPr>
            <w:tcW w:w="2279" w:type="pct"/>
            <w:tcBorders>
              <w:top w:val="nil"/>
              <w:left w:val="nil"/>
              <w:bottom w:val="single" w:sz="4" w:space="0" w:color="auto"/>
              <w:right w:val="single" w:sz="4" w:space="0" w:color="auto"/>
            </w:tcBorders>
            <w:shd w:val="clear" w:color="000000" w:fill="FFFFFF"/>
            <w:vAlign w:val="center"/>
            <w:hideMark/>
          </w:tcPr>
          <w:p w14:paraId="3A39BE4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Note technique sur la triangulation des données en matière de populations clés en Côte d’Ivoire </w:t>
            </w:r>
          </w:p>
        </w:tc>
        <w:tc>
          <w:tcPr>
            <w:tcW w:w="1147" w:type="pct"/>
            <w:tcBorders>
              <w:top w:val="nil"/>
              <w:left w:val="nil"/>
              <w:bottom w:val="single" w:sz="4" w:space="0" w:color="auto"/>
              <w:right w:val="single" w:sz="4" w:space="0" w:color="auto"/>
            </w:tcBorders>
            <w:shd w:val="clear" w:color="000000" w:fill="FFFFFF"/>
            <w:vAlign w:val="center"/>
            <w:hideMark/>
          </w:tcPr>
          <w:p w14:paraId="54466D0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p.6</w:t>
            </w:r>
          </w:p>
        </w:tc>
        <w:tc>
          <w:tcPr>
            <w:tcW w:w="512" w:type="pct"/>
            <w:tcBorders>
              <w:top w:val="nil"/>
              <w:left w:val="nil"/>
              <w:bottom w:val="single" w:sz="4" w:space="0" w:color="auto"/>
              <w:right w:val="single" w:sz="4" w:space="0" w:color="auto"/>
            </w:tcBorders>
            <w:shd w:val="clear" w:color="auto" w:fill="auto"/>
            <w:noWrap/>
            <w:vAlign w:val="center"/>
            <w:hideMark/>
          </w:tcPr>
          <w:p w14:paraId="2CD1BCA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1E59A92D" w14:textId="77777777" w:rsidTr="00BC08DB">
        <w:trPr>
          <w:trHeight w:val="522"/>
        </w:trPr>
        <w:tc>
          <w:tcPr>
            <w:tcW w:w="544" w:type="pct"/>
            <w:tcBorders>
              <w:top w:val="nil"/>
              <w:left w:val="single" w:sz="4" w:space="0" w:color="auto"/>
              <w:bottom w:val="single" w:sz="4" w:space="0" w:color="auto"/>
              <w:right w:val="single" w:sz="4" w:space="0" w:color="auto"/>
            </w:tcBorders>
            <w:shd w:val="clear" w:color="000000" w:fill="D9D9D9"/>
            <w:vAlign w:val="center"/>
            <w:hideMark/>
          </w:tcPr>
          <w:p w14:paraId="02794563"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r w:rsidRPr="00BC08DB">
              <w:rPr>
                <w:rFonts w:eastAsia="Times New Roman" w:cstheme="minorHAnsi"/>
                <w:lang w:eastAsia="fr-FR"/>
              </w:rPr>
              <w:br/>
              <w:t>2.2</w:t>
            </w:r>
          </w:p>
        </w:tc>
        <w:tc>
          <w:tcPr>
            <w:tcW w:w="518" w:type="pct"/>
            <w:tcBorders>
              <w:top w:val="nil"/>
              <w:left w:val="nil"/>
              <w:bottom w:val="single" w:sz="4" w:space="0" w:color="auto"/>
              <w:right w:val="single" w:sz="4" w:space="0" w:color="auto"/>
            </w:tcBorders>
            <w:shd w:val="clear" w:color="000000" w:fill="D9D9D9"/>
            <w:noWrap/>
            <w:vAlign w:val="center"/>
            <w:hideMark/>
          </w:tcPr>
          <w:p w14:paraId="01678E62"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9</w:t>
            </w:r>
          </w:p>
        </w:tc>
        <w:tc>
          <w:tcPr>
            <w:tcW w:w="2279" w:type="pct"/>
            <w:tcBorders>
              <w:top w:val="nil"/>
              <w:left w:val="nil"/>
              <w:bottom w:val="single" w:sz="4" w:space="0" w:color="auto"/>
              <w:right w:val="single" w:sz="4" w:space="0" w:color="auto"/>
            </w:tcBorders>
            <w:shd w:val="clear" w:color="000000" w:fill="FFFFFF"/>
            <w:vAlign w:val="center"/>
            <w:hideMark/>
          </w:tcPr>
          <w:p w14:paraId="7CCDE78B"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Evaluation du cadre juridique de protection des droits en matière de VIH (LEA) en Côte d’Ivoire, 2018</w:t>
            </w:r>
          </w:p>
        </w:tc>
        <w:tc>
          <w:tcPr>
            <w:tcW w:w="1147" w:type="pct"/>
            <w:tcBorders>
              <w:top w:val="nil"/>
              <w:left w:val="nil"/>
              <w:bottom w:val="single" w:sz="4" w:space="0" w:color="auto"/>
              <w:right w:val="single" w:sz="4" w:space="0" w:color="auto"/>
            </w:tcBorders>
            <w:shd w:val="clear" w:color="000000" w:fill="FFFFFF"/>
            <w:vAlign w:val="center"/>
            <w:hideMark/>
          </w:tcPr>
          <w:p w14:paraId="0238BB33"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p.108,109,124</w:t>
            </w:r>
          </w:p>
        </w:tc>
        <w:tc>
          <w:tcPr>
            <w:tcW w:w="512" w:type="pct"/>
            <w:tcBorders>
              <w:top w:val="nil"/>
              <w:left w:val="nil"/>
              <w:bottom w:val="single" w:sz="4" w:space="0" w:color="auto"/>
              <w:right w:val="single" w:sz="4" w:space="0" w:color="auto"/>
            </w:tcBorders>
            <w:shd w:val="clear" w:color="auto" w:fill="auto"/>
            <w:noWrap/>
            <w:vAlign w:val="center"/>
            <w:hideMark/>
          </w:tcPr>
          <w:p w14:paraId="557255F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322D5EA1" w14:textId="77777777" w:rsidTr="00BC08DB">
        <w:trPr>
          <w:trHeight w:val="532"/>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70BBDACB"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71C58778"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10</w:t>
            </w:r>
          </w:p>
        </w:tc>
        <w:tc>
          <w:tcPr>
            <w:tcW w:w="2279" w:type="pct"/>
            <w:tcBorders>
              <w:top w:val="nil"/>
              <w:left w:val="nil"/>
              <w:bottom w:val="single" w:sz="4" w:space="0" w:color="auto"/>
              <w:right w:val="single" w:sz="4" w:space="0" w:color="auto"/>
            </w:tcBorders>
            <w:shd w:val="clear" w:color="000000" w:fill="FFFFFF"/>
            <w:vAlign w:val="center"/>
            <w:hideMark/>
          </w:tcPr>
          <w:p w14:paraId="41EAEBD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Enquête sur connaissance, attitudes, pratiques et </w:t>
            </w:r>
            <w:proofErr w:type="spellStart"/>
            <w:r w:rsidRPr="00BC08DB">
              <w:rPr>
                <w:rFonts w:eastAsia="Times New Roman" w:cstheme="minorHAnsi"/>
                <w:lang w:eastAsia="fr-FR"/>
              </w:rPr>
              <w:t>seroprévalence</w:t>
            </w:r>
            <w:proofErr w:type="spellEnd"/>
            <w:r w:rsidRPr="00BC08DB">
              <w:rPr>
                <w:rFonts w:eastAsia="Times New Roman" w:cstheme="minorHAnsi"/>
                <w:lang w:eastAsia="fr-FR"/>
              </w:rPr>
              <w:t xml:space="preserve"> du VIH chez les militaires et gendarmes de Côte d'Ivoire (SABERS 2014)</w:t>
            </w:r>
          </w:p>
        </w:tc>
        <w:tc>
          <w:tcPr>
            <w:tcW w:w="1147" w:type="pct"/>
            <w:tcBorders>
              <w:top w:val="nil"/>
              <w:left w:val="nil"/>
              <w:bottom w:val="single" w:sz="4" w:space="0" w:color="auto"/>
              <w:right w:val="single" w:sz="4" w:space="0" w:color="auto"/>
            </w:tcBorders>
            <w:shd w:val="clear" w:color="000000" w:fill="FFFFFF"/>
            <w:vAlign w:val="center"/>
            <w:hideMark/>
          </w:tcPr>
          <w:p w14:paraId="6C65C069"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p.19</w:t>
            </w:r>
          </w:p>
        </w:tc>
        <w:tc>
          <w:tcPr>
            <w:tcW w:w="512" w:type="pct"/>
            <w:tcBorders>
              <w:top w:val="nil"/>
              <w:left w:val="nil"/>
              <w:bottom w:val="single" w:sz="4" w:space="0" w:color="auto"/>
              <w:right w:val="single" w:sz="4" w:space="0" w:color="auto"/>
            </w:tcBorders>
            <w:shd w:val="clear" w:color="auto" w:fill="auto"/>
            <w:noWrap/>
            <w:vAlign w:val="center"/>
            <w:hideMark/>
          </w:tcPr>
          <w:p w14:paraId="1693764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5B1CA13E" w14:textId="77777777" w:rsidTr="00BC08DB">
        <w:trPr>
          <w:trHeight w:val="990"/>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1194225B"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7AF6A4B1"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11</w:t>
            </w:r>
          </w:p>
        </w:tc>
        <w:tc>
          <w:tcPr>
            <w:tcW w:w="2279" w:type="pct"/>
            <w:tcBorders>
              <w:top w:val="nil"/>
              <w:left w:val="nil"/>
              <w:bottom w:val="single" w:sz="4" w:space="0" w:color="auto"/>
              <w:right w:val="single" w:sz="4" w:space="0" w:color="auto"/>
            </w:tcBorders>
            <w:shd w:val="clear" w:color="000000" w:fill="FFFFFF"/>
            <w:vAlign w:val="center"/>
            <w:hideMark/>
          </w:tcPr>
          <w:p w14:paraId="63191DDF"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Rapport à mi-parcours : Identification des besoins spécifiques en matière de prévention et prise en charge IST-VIH/sida chez les personnes handicapées à Abidjan   Côte d’Ivoire, 2020</w:t>
            </w:r>
          </w:p>
        </w:tc>
        <w:tc>
          <w:tcPr>
            <w:tcW w:w="1147" w:type="pct"/>
            <w:tcBorders>
              <w:top w:val="nil"/>
              <w:left w:val="nil"/>
              <w:bottom w:val="single" w:sz="4" w:space="0" w:color="auto"/>
              <w:right w:val="single" w:sz="4" w:space="0" w:color="auto"/>
            </w:tcBorders>
            <w:shd w:val="clear" w:color="000000" w:fill="FFFFFF"/>
            <w:vAlign w:val="center"/>
            <w:hideMark/>
          </w:tcPr>
          <w:p w14:paraId="559BF2B7"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p.21</w:t>
            </w:r>
          </w:p>
        </w:tc>
        <w:tc>
          <w:tcPr>
            <w:tcW w:w="512" w:type="pct"/>
            <w:tcBorders>
              <w:top w:val="nil"/>
              <w:left w:val="nil"/>
              <w:bottom w:val="single" w:sz="4" w:space="0" w:color="auto"/>
              <w:right w:val="single" w:sz="4" w:space="0" w:color="auto"/>
            </w:tcBorders>
            <w:shd w:val="clear" w:color="auto" w:fill="auto"/>
            <w:noWrap/>
            <w:vAlign w:val="center"/>
            <w:hideMark/>
          </w:tcPr>
          <w:p w14:paraId="5ABB363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075CDF01" w14:textId="77777777" w:rsidTr="00BC08DB">
        <w:trPr>
          <w:trHeight w:val="386"/>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7462B49E"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09B7FD39"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12</w:t>
            </w:r>
          </w:p>
        </w:tc>
        <w:tc>
          <w:tcPr>
            <w:tcW w:w="2279" w:type="pct"/>
            <w:tcBorders>
              <w:top w:val="nil"/>
              <w:left w:val="nil"/>
              <w:bottom w:val="single" w:sz="4" w:space="0" w:color="auto"/>
              <w:right w:val="single" w:sz="4" w:space="0" w:color="auto"/>
            </w:tcBorders>
            <w:shd w:val="clear" w:color="000000" w:fill="FFFFFF"/>
            <w:vAlign w:val="center"/>
            <w:hideMark/>
          </w:tcPr>
          <w:p w14:paraId="727A35D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Rapport d'activités PNLS, 2019</w:t>
            </w:r>
          </w:p>
        </w:tc>
        <w:tc>
          <w:tcPr>
            <w:tcW w:w="1147" w:type="pct"/>
            <w:tcBorders>
              <w:top w:val="nil"/>
              <w:left w:val="nil"/>
              <w:bottom w:val="single" w:sz="4" w:space="0" w:color="auto"/>
              <w:right w:val="single" w:sz="4" w:space="0" w:color="auto"/>
            </w:tcBorders>
            <w:shd w:val="clear" w:color="auto" w:fill="auto"/>
            <w:vAlign w:val="center"/>
            <w:hideMark/>
          </w:tcPr>
          <w:p w14:paraId="55716E6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p.22,23</w:t>
            </w:r>
          </w:p>
        </w:tc>
        <w:tc>
          <w:tcPr>
            <w:tcW w:w="512" w:type="pct"/>
            <w:tcBorders>
              <w:top w:val="nil"/>
              <w:left w:val="nil"/>
              <w:bottom w:val="single" w:sz="4" w:space="0" w:color="auto"/>
              <w:right w:val="single" w:sz="4" w:space="0" w:color="auto"/>
            </w:tcBorders>
            <w:shd w:val="clear" w:color="auto" w:fill="auto"/>
            <w:noWrap/>
            <w:vAlign w:val="center"/>
            <w:hideMark/>
          </w:tcPr>
          <w:p w14:paraId="7BA5167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3F80CB77" w14:textId="77777777" w:rsidTr="00BC08DB">
        <w:trPr>
          <w:trHeight w:val="279"/>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10E3ED54"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13145954"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13</w:t>
            </w:r>
          </w:p>
        </w:tc>
        <w:tc>
          <w:tcPr>
            <w:tcW w:w="2279" w:type="pct"/>
            <w:tcBorders>
              <w:top w:val="nil"/>
              <w:left w:val="nil"/>
              <w:bottom w:val="single" w:sz="4" w:space="0" w:color="auto"/>
              <w:right w:val="single" w:sz="4" w:space="0" w:color="auto"/>
            </w:tcBorders>
            <w:shd w:val="clear" w:color="000000" w:fill="FFFFFF"/>
            <w:vAlign w:val="center"/>
            <w:hideMark/>
          </w:tcPr>
          <w:p w14:paraId="0EB3ACA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Côte </w:t>
            </w:r>
            <w:proofErr w:type="gramStart"/>
            <w:r w:rsidRPr="00BC08DB">
              <w:rPr>
                <w:rFonts w:eastAsia="Times New Roman" w:cstheme="minorHAnsi"/>
                <w:lang w:eastAsia="fr-FR"/>
              </w:rPr>
              <w:t>d'Ivoire:</w:t>
            </w:r>
            <w:proofErr w:type="gramEnd"/>
            <w:r w:rsidRPr="00BC08DB">
              <w:rPr>
                <w:rFonts w:eastAsia="Times New Roman" w:cstheme="minorHAnsi"/>
                <w:lang w:eastAsia="fr-FR"/>
              </w:rPr>
              <w:t xml:space="preserve"> 2019 HIV draft </w:t>
            </w:r>
            <w:proofErr w:type="spellStart"/>
            <w:r w:rsidRPr="00BC08DB">
              <w:rPr>
                <w:rFonts w:eastAsia="Times New Roman" w:cstheme="minorHAnsi"/>
                <w:lang w:eastAsia="fr-FR"/>
              </w:rPr>
              <w:t>Estimates</w:t>
            </w:r>
            <w:proofErr w:type="spellEnd"/>
          </w:p>
        </w:tc>
        <w:tc>
          <w:tcPr>
            <w:tcW w:w="1147" w:type="pct"/>
            <w:tcBorders>
              <w:top w:val="nil"/>
              <w:left w:val="nil"/>
              <w:bottom w:val="single" w:sz="4" w:space="0" w:color="auto"/>
              <w:right w:val="single" w:sz="4" w:space="0" w:color="auto"/>
            </w:tcBorders>
            <w:shd w:val="clear" w:color="000000" w:fill="FFFFFF"/>
            <w:vAlign w:val="center"/>
            <w:hideMark/>
          </w:tcPr>
          <w:p w14:paraId="1DF27069"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tcBorders>
              <w:top w:val="nil"/>
              <w:left w:val="nil"/>
              <w:bottom w:val="single" w:sz="4" w:space="0" w:color="auto"/>
              <w:right w:val="single" w:sz="4" w:space="0" w:color="auto"/>
            </w:tcBorders>
            <w:shd w:val="clear" w:color="auto" w:fill="auto"/>
            <w:noWrap/>
            <w:vAlign w:val="center"/>
            <w:hideMark/>
          </w:tcPr>
          <w:p w14:paraId="78CF3067"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Anglais</w:t>
            </w:r>
          </w:p>
        </w:tc>
      </w:tr>
      <w:tr w:rsidR="00BC08DB" w:rsidRPr="00BC08DB" w14:paraId="32B3AB0A" w14:textId="77777777" w:rsidTr="00BC08DB">
        <w:trPr>
          <w:trHeight w:val="410"/>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4B0A6B5F"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69C5FEDD"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14</w:t>
            </w:r>
          </w:p>
        </w:tc>
        <w:tc>
          <w:tcPr>
            <w:tcW w:w="2279" w:type="pct"/>
            <w:tcBorders>
              <w:top w:val="nil"/>
              <w:left w:val="nil"/>
              <w:bottom w:val="single" w:sz="4" w:space="0" w:color="auto"/>
              <w:right w:val="single" w:sz="4" w:space="0" w:color="auto"/>
            </w:tcBorders>
            <w:shd w:val="clear" w:color="000000" w:fill="FFFFFF"/>
            <w:vAlign w:val="center"/>
            <w:hideMark/>
          </w:tcPr>
          <w:p w14:paraId="6BCF5EF1"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Côte d'Ivoire, Profil Tuberculose 2018, source site internet WHO </w:t>
            </w:r>
          </w:p>
        </w:tc>
        <w:tc>
          <w:tcPr>
            <w:tcW w:w="1147" w:type="pct"/>
            <w:tcBorders>
              <w:top w:val="nil"/>
              <w:left w:val="nil"/>
              <w:bottom w:val="single" w:sz="4" w:space="0" w:color="auto"/>
              <w:right w:val="single" w:sz="4" w:space="0" w:color="auto"/>
            </w:tcBorders>
            <w:shd w:val="clear" w:color="000000" w:fill="FFFFFF"/>
            <w:vAlign w:val="center"/>
            <w:hideMark/>
          </w:tcPr>
          <w:p w14:paraId="0D7A2AA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tcBorders>
              <w:top w:val="nil"/>
              <w:left w:val="nil"/>
              <w:bottom w:val="single" w:sz="4" w:space="0" w:color="auto"/>
              <w:right w:val="single" w:sz="4" w:space="0" w:color="auto"/>
            </w:tcBorders>
            <w:shd w:val="clear" w:color="auto" w:fill="auto"/>
            <w:noWrap/>
            <w:vAlign w:val="center"/>
            <w:hideMark/>
          </w:tcPr>
          <w:p w14:paraId="22C3201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1CA84246" w14:textId="77777777" w:rsidTr="00BC08DB">
        <w:trPr>
          <w:trHeight w:val="360"/>
        </w:trPr>
        <w:tc>
          <w:tcPr>
            <w:tcW w:w="544" w:type="pct"/>
            <w:tcBorders>
              <w:top w:val="nil"/>
              <w:left w:val="single" w:sz="4" w:space="0" w:color="auto"/>
              <w:bottom w:val="single" w:sz="4" w:space="0" w:color="auto"/>
              <w:right w:val="single" w:sz="4" w:space="0" w:color="auto"/>
            </w:tcBorders>
            <w:shd w:val="clear" w:color="000000" w:fill="D9D9D9"/>
            <w:noWrap/>
            <w:vAlign w:val="center"/>
            <w:hideMark/>
          </w:tcPr>
          <w:p w14:paraId="31B56272"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tcBorders>
              <w:top w:val="nil"/>
              <w:left w:val="nil"/>
              <w:bottom w:val="single" w:sz="4" w:space="0" w:color="auto"/>
              <w:right w:val="single" w:sz="4" w:space="0" w:color="auto"/>
            </w:tcBorders>
            <w:shd w:val="clear" w:color="000000" w:fill="D9D9D9"/>
            <w:noWrap/>
            <w:vAlign w:val="center"/>
            <w:hideMark/>
          </w:tcPr>
          <w:p w14:paraId="168E71A7"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15</w:t>
            </w:r>
          </w:p>
        </w:tc>
        <w:tc>
          <w:tcPr>
            <w:tcW w:w="2279" w:type="pct"/>
            <w:tcBorders>
              <w:top w:val="nil"/>
              <w:left w:val="nil"/>
              <w:bottom w:val="single" w:sz="4" w:space="0" w:color="auto"/>
              <w:right w:val="single" w:sz="4" w:space="0" w:color="auto"/>
            </w:tcBorders>
            <w:shd w:val="clear" w:color="000000" w:fill="FFFFFF"/>
            <w:vAlign w:val="center"/>
            <w:hideMark/>
          </w:tcPr>
          <w:p w14:paraId="71AADD05"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Rapport annuel de la lutte contre la tuberculose - Côte d'Ivoire, 2018</w:t>
            </w:r>
          </w:p>
        </w:tc>
        <w:tc>
          <w:tcPr>
            <w:tcW w:w="1147" w:type="pct"/>
            <w:tcBorders>
              <w:top w:val="nil"/>
              <w:left w:val="nil"/>
              <w:bottom w:val="single" w:sz="4" w:space="0" w:color="auto"/>
              <w:right w:val="single" w:sz="4" w:space="0" w:color="auto"/>
            </w:tcBorders>
            <w:shd w:val="clear" w:color="000000" w:fill="FFFFFF"/>
            <w:vAlign w:val="center"/>
            <w:hideMark/>
          </w:tcPr>
          <w:p w14:paraId="42EE025A"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p.30</w:t>
            </w:r>
          </w:p>
        </w:tc>
        <w:tc>
          <w:tcPr>
            <w:tcW w:w="512" w:type="pct"/>
            <w:tcBorders>
              <w:top w:val="nil"/>
              <w:left w:val="nil"/>
              <w:bottom w:val="single" w:sz="4" w:space="0" w:color="auto"/>
              <w:right w:val="single" w:sz="4" w:space="0" w:color="auto"/>
            </w:tcBorders>
            <w:shd w:val="clear" w:color="auto" w:fill="auto"/>
            <w:noWrap/>
            <w:vAlign w:val="center"/>
            <w:hideMark/>
          </w:tcPr>
          <w:p w14:paraId="3FDD022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38EB1E69" w14:textId="77777777" w:rsidTr="00BC08DB">
        <w:trPr>
          <w:trHeight w:val="930"/>
        </w:trPr>
        <w:tc>
          <w:tcPr>
            <w:tcW w:w="544" w:type="pct"/>
            <w:tcBorders>
              <w:top w:val="nil"/>
              <w:left w:val="single" w:sz="4" w:space="0" w:color="auto"/>
              <w:bottom w:val="single" w:sz="4" w:space="0" w:color="auto"/>
              <w:right w:val="single" w:sz="4" w:space="0" w:color="auto"/>
            </w:tcBorders>
            <w:shd w:val="clear" w:color="000000" w:fill="D9D9D9"/>
            <w:vAlign w:val="center"/>
            <w:hideMark/>
          </w:tcPr>
          <w:p w14:paraId="7E03426E"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r w:rsidRPr="00BC08DB">
              <w:rPr>
                <w:rFonts w:eastAsia="Times New Roman" w:cstheme="minorHAnsi"/>
                <w:lang w:eastAsia="fr-FR"/>
              </w:rPr>
              <w:br/>
              <w:t>1.3</w:t>
            </w:r>
          </w:p>
        </w:tc>
        <w:tc>
          <w:tcPr>
            <w:tcW w:w="518" w:type="pct"/>
            <w:tcBorders>
              <w:top w:val="nil"/>
              <w:left w:val="nil"/>
              <w:bottom w:val="single" w:sz="4" w:space="0" w:color="auto"/>
              <w:right w:val="single" w:sz="4" w:space="0" w:color="auto"/>
            </w:tcBorders>
            <w:shd w:val="clear" w:color="000000" w:fill="D9D9D9"/>
            <w:noWrap/>
            <w:vAlign w:val="center"/>
            <w:hideMark/>
          </w:tcPr>
          <w:p w14:paraId="5E186F58"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16</w:t>
            </w:r>
          </w:p>
        </w:tc>
        <w:tc>
          <w:tcPr>
            <w:tcW w:w="2279" w:type="pct"/>
            <w:tcBorders>
              <w:top w:val="nil"/>
              <w:left w:val="nil"/>
              <w:bottom w:val="single" w:sz="4" w:space="0" w:color="auto"/>
              <w:right w:val="single" w:sz="4" w:space="0" w:color="auto"/>
            </w:tcBorders>
            <w:shd w:val="clear" w:color="000000" w:fill="FFFFFF"/>
            <w:vAlign w:val="center"/>
            <w:hideMark/>
          </w:tcPr>
          <w:p w14:paraId="6A7466B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Feuille de route pour l’opérationnalisation de la Thérapie Préventive a l’Isoniazide (TPI) chez les PVVIH en Côte d’Ivoire, édition de Mai 2020</w:t>
            </w:r>
          </w:p>
        </w:tc>
        <w:tc>
          <w:tcPr>
            <w:tcW w:w="1147" w:type="pct"/>
            <w:tcBorders>
              <w:top w:val="nil"/>
              <w:left w:val="nil"/>
              <w:bottom w:val="single" w:sz="4" w:space="0" w:color="auto"/>
              <w:right w:val="single" w:sz="4" w:space="0" w:color="auto"/>
            </w:tcBorders>
            <w:shd w:val="clear" w:color="000000" w:fill="FFFFFF"/>
            <w:vAlign w:val="center"/>
            <w:hideMark/>
          </w:tcPr>
          <w:p w14:paraId="0E94B1C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Section 1.2 : p.3,4</w:t>
            </w:r>
            <w:r w:rsidRPr="00BC08DB">
              <w:rPr>
                <w:rFonts w:eastAsia="Times New Roman" w:cstheme="minorHAnsi"/>
                <w:lang w:eastAsia="fr-FR"/>
              </w:rPr>
              <w:br/>
              <w:t>Section 1.3 : p.2; p.5</w:t>
            </w:r>
          </w:p>
        </w:tc>
        <w:tc>
          <w:tcPr>
            <w:tcW w:w="512" w:type="pct"/>
            <w:tcBorders>
              <w:top w:val="nil"/>
              <w:left w:val="nil"/>
              <w:bottom w:val="single" w:sz="4" w:space="0" w:color="auto"/>
              <w:right w:val="single" w:sz="4" w:space="0" w:color="auto"/>
            </w:tcBorders>
            <w:shd w:val="clear" w:color="auto" w:fill="auto"/>
            <w:noWrap/>
            <w:vAlign w:val="center"/>
            <w:hideMark/>
          </w:tcPr>
          <w:p w14:paraId="7975D7F7"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bl>
    <w:p w14:paraId="3368A867" w14:textId="77777777" w:rsidR="008713E4" w:rsidRDefault="008713E4"/>
    <w:tbl>
      <w:tblPr>
        <w:tblW w:w="50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2"/>
        <w:gridCol w:w="1098"/>
        <w:gridCol w:w="4829"/>
        <w:gridCol w:w="2430"/>
        <w:gridCol w:w="1085"/>
      </w:tblGrid>
      <w:tr w:rsidR="00BC08DB" w:rsidRPr="00BC08DB" w14:paraId="6C84FC80" w14:textId="77777777" w:rsidTr="008713E4">
        <w:trPr>
          <w:trHeight w:val="670"/>
        </w:trPr>
        <w:tc>
          <w:tcPr>
            <w:tcW w:w="544" w:type="pct"/>
            <w:shd w:val="clear" w:color="000000" w:fill="D9D9D9"/>
            <w:noWrap/>
            <w:vAlign w:val="center"/>
            <w:hideMark/>
          </w:tcPr>
          <w:p w14:paraId="2EFA6967"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lastRenderedPageBreak/>
              <w:t>1.2</w:t>
            </w:r>
          </w:p>
        </w:tc>
        <w:tc>
          <w:tcPr>
            <w:tcW w:w="518" w:type="pct"/>
            <w:shd w:val="clear" w:color="000000" w:fill="D9D9D9"/>
            <w:noWrap/>
            <w:vAlign w:val="center"/>
            <w:hideMark/>
          </w:tcPr>
          <w:p w14:paraId="57AA644A"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17</w:t>
            </w:r>
          </w:p>
        </w:tc>
        <w:tc>
          <w:tcPr>
            <w:tcW w:w="2279" w:type="pct"/>
            <w:shd w:val="clear" w:color="000000" w:fill="FFFFFF"/>
            <w:vAlign w:val="center"/>
            <w:hideMark/>
          </w:tcPr>
          <w:p w14:paraId="3ED65CD9"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Évaluation de référence </w:t>
            </w:r>
            <w:proofErr w:type="gramStart"/>
            <w:r w:rsidRPr="00BC08DB">
              <w:rPr>
                <w:rFonts w:eastAsia="Times New Roman" w:cstheme="minorHAnsi"/>
                <w:lang w:eastAsia="fr-FR"/>
              </w:rPr>
              <w:t>−  Côte</w:t>
            </w:r>
            <w:proofErr w:type="gramEnd"/>
            <w:r w:rsidRPr="00BC08DB">
              <w:rPr>
                <w:rFonts w:eastAsia="Times New Roman" w:cstheme="minorHAnsi"/>
                <w:lang w:eastAsia="fr-FR"/>
              </w:rPr>
              <w:t xml:space="preserve"> d’Ivoire Déployer à grande échelle des programmes visant à réduire les obstacles liés aux droits humains qui entravent l’accès aux services de lutte contre le VIH et la tuberculose </w:t>
            </w:r>
          </w:p>
        </w:tc>
        <w:tc>
          <w:tcPr>
            <w:tcW w:w="1147" w:type="pct"/>
            <w:shd w:val="clear" w:color="000000" w:fill="FFFFFF"/>
            <w:vAlign w:val="center"/>
            <w:hideMark/>
          </w:tcPr>
          <w:p w14:paraId="40B4D53C"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p.7-14</w:t>
            </w:r>
          </w:p>
        </w:tc>
        <w:tc>
          <w:tcPr>
            <w:tcW w:w="512" w:type="pct"/>
            <w:shd w:val="clear" w:color="auto" w:fill="auto"/>
            <w:noWrap/>
            <w:vAlign w:val="center"/>
            <w:hideMark/>
          </w:tcPr>
          <w:p w14:paraId="746547EB"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77234945" w14:textId="77777777" w:rsidTr="008713E4">
        <w:trPr>
          <w:trHeight w:val="374"/>
        </w:trPr>
        <w:tc>
          <w:tcPr>
            <w:tcW w:w="544" w:type="pct"/>
            <w:shd w:val="clear" w:color="000000" w:fill="D9D9D9"/>
            <w:vAlign w:val="center"/>
            <w:hideMark/>
          </w:tcPr>
          <w:p w14:paraId="44D7BDB3"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r w:rsidRPr="00BC08DB">
              <w:rPr>
                <w:rFonts w:eastAsia="Times New Roman" w:cstheme="minorHAnsi"/>
                <w:lang w:eastAsia="fr-FR"/>
              </w:rPr>
              <w:br/>
              <w:t>2.2</w:t>
            </w:r>
          </w:p>
        </w:tc>
        <w:tc>
          <w:tcPr>
            <w:tcW w:w="518" w:type="pct"/>
            <w:shd w:val="clear" w:color="000000" w:fill="D9D9D9"/>
            <w:noWrap/>
            <w:vAlign w:val="center"/>
            <w:hideMark/>
          </w:tcPr>
          <w:p w14:paraId="239557F7"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18</w:t>
            </w:r>
          </w:p>
        </w:tc>
        <w:tc>
          <w:tcPr>
            <w:tcW w:w="2279" w:type="pct"/>
            <w:shd w:val="clear" w:color="000000" w:fill="FFFFFF"/>
            <w:vAlign w:val="center"/>
            <w:hideMark/>
          </w:tcPr>
          <w:p w14:paraId="335C73B3"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Rapport </w:t>
            </w:r>
            <w:proofErr w:type="gramStart"/>
            <w:r w:rsidRPr="00BC08DB">
              <w:rPr>
                <w:rFonts w:eastAsia="Times New Roman" w:cstheme="minorHAnsi"/>
                <w:lang w:eastAsia="fr-FR"/>
              </w:rPr>
              <w:t>final:</w:t>
            </w:r>
            <w:proofErr w:type="gramEnd"/>
            <w:r w:rsidRPr="00BC08DB">
              <w:rPr>
                <w:rFonts w:eastAsia="Times New Roman" w:cstheme="minorHAnsi"/>
                <w:lang w:eastAsia="fr-FR"/>
              </w:rPr>
              <w:t xml:space="preserve"> Etude nationale de l’index de stigmatisation et discrimination envers les personnes vivant avec le VIH en Côte d’Ivoire, Août 2016</w:t>
            </w:r>
          </w:p>
        </w:tc>
        <w:tc>
          <w:tcPr>
            <w:tcW w:w="1147" w:type="pct"/>
            <w:shd w:val="clear" w:color="000000" w:fill="FFFFFF"/>
            <w:vAlign w:val="center"/>
            <w:hideMark/>
          </w:tcPr>
          <w:p w14:paraId="7CCF731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Section 1.2 : p.17</w:t>
            </w:r>
            <w:r w:rsidRPr="00BC08DB">
              <w:rPr>
                <w:rFonts w:eastAsia="Times New Roman" w:cstheme="minorHAnsi"/>
                <w:lang w:eastAsia="fr-FR"/>
              </w:rPr>
              <w:br/>
              <w:t>Section 2.2 : p.17,77</w:t>
            </w:r>
          </w:p>
        </w:tc>
        <w:tc>
          <w:tcPr>
            <w:tcW w:w="512" w:type="pct"/>
            <w:shd w:val="clear" w:color="auto" w:fill="auto"/>
            <w:noWrap/>
            <w:vAlign w:val="center"/>
            <w:hideMark/>
          </w:tcPr>
          <w:p w14:paraId="3D801E9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16A17B96" w14:textId="77777777" w:rsidTr="008713E4">
        <w:trPr>
          <w:trHeight w:val="370"/>
        </w:trPr>
        <w:tc>
          <w:tcPr>
            <w:tcW w:w="544" w:type="pct"/>
            <w:shd w:val="clear" w:color="000000" w:fill="D9D9D9"/>
            <w:noWrap/>
            <w:vAlign w:val="center"/>
            <w:hideMark/>
          </w:tcPr>
          <w:p w14:paraId="1FBECCE9"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shd w:val="clear" w:color="000000" w:fill="D9D9D9"/>
            <w:noWrap/>
            <w:vAlign w:val="center"/>
            <w:hideMark/>
          </w:tcPr>
          <w:p w14:paraId="75C7CF66"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19</w:t>
            </w:r>
          </w:p>
        </w:tc>
        <w:tc>
          <w:tcPr>
            <w:tcW w:w="2279" w:type="pct"/>
            <w:shd w:val="clear" w:color="000000" w:fill="FFFFFF"/>
            <w:vAlign w:val="center"/>
            <w:hideMark/>
          </w:tcPr>
          <w:p w14:paraId="0D6C6435"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Enquête Démographique et de Santé et à Indicateurs Multiples (EDS-MICS) 2011-2012</w:t>
            </w:r>
          </w:p>
        </w:tc>
        <w:tc>
          <w:tcPr>
            <w:tcW w:w="1147" w:type="pct"/>
            <w:shd w:val="clear" w:color="000000" w:fill="FFFFFF"/>
            <w:vAlign w:val="center"/>
            <w:hideMark/>
          </w:tcPr>
          <w:p w14:paraId="124D0B51"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p.308</w:t>
            </w:r>
          </w:p>
        </w:tc>
        <w:tc>
          <w:tcPr>
            <w:tcW w:w="512" w:type="pct"/>
            <w:shd w:val="clear" w:color="auto" w:fill="auto"/>
            <w:noWrap/>
            <w:vAlign w:val="center"/>
            <w:hideMark/>
          </w:tcPr>
          <w:p w14:paraId="30B7CF89"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76DF82BF" w14:textId="77777777" w:rsidTr="008713E4">
        <w:trPr>
          <w:trHeight w:val="334"/>
        </w:trPr>
        <w:tc>
          <w:tcPr>
            <w:tcW w:w="544" w:type="pct"/>
            <w:shd w:val="clear" w:color="000000" w:fill="D9D9D9"/>
            <w:noWrap/>
            <w:vAlign w:val="center"/>
            <w:hideMark/>
          </w:tcPr>
          <w:p w14:paraId="4C0EE18A"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shd w:val="clear" w:color="000000" w:fill="D9D9D9"/>
            <w:noWrap/>
            <w:vAlign w:val="center"/>
            <w:hideMark/>
          </w:tcPr>
          <w:p w14:paraId="71EF3FE0"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20</w:t>
            </w:r>
          </w:p>
        </w:tc>
        <w:tc>
          <w:tcPr>
            <w:tcW w:w="2279" w:type="pct"/>
            <w:shd w:val="clear" w:color="000000" w:fill="FFFFFF"/>
            <w:vAlign w:val="center"/>
            <w:hideMark/>
          </w:tcPr>
          <w:p w14:paraId="02725EE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Feuille de Route pour la contribution des OSC dans l’accélération de la réponse au VIH en 2019-2020 en Côte d’Ivoire </w:t>
            </w:r>
          </w:p>
        </w:tc>
        <w:tc>
          <w:tcPr>
            <w:tcW w:w="1147" w:type="pct"/>
            <w:shd w:val="clear" w:color="000000" w:fill="FFFFFF"/>
            <w:vAlign w:val="center"/>
            <w:hideMark/>
          </w:tcPr>
          <w:p w14:paraId="78B068F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p.28</w:t>
            </w:r>
          </w:p>
        </w:tc>
        <w:tc>
          <w:tcPr>
            <w:tcW w:w="512" w:type="pct"/>
            <w:shd w:val="clear" w:color="auto" w:fill="auto"/>
            <w:noWrap/>
            <w:vAlign w:val="center"/>
            <w:hideMark/>
          </w:tcPr>
          <w:p w14:paraId="22B78E6C"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76B9E0AD" w14:textId="77777777" w:rsidTr="008713E4">
        <w:trPr>
          <w:trHeight w:val="486"/>
        </w:trPr>
        <w:tc>
          <w:tcPr>
            <w:tcW w:w="544" w:type="pct"/>
            <w:shd w:val="clear" w:color="000000" w:fill="D9D9D9"/>
            <w:noWrap/>
            <w:vAlign w:val="center"/>
            <w:hideMark/>
          </w:tcPr>
          <w:p w14:paraId="77A7DE75"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1.2</w:t>
            </w:r>
          </w:p>
        </w:tc>
        <w:tc>
          <w:tcPr>
            <w:tcW w:w="518" w:type="pct"/>
            <w:shd w:val="clear" w:color="000000" w:fill="D9D9D9"/>
            <w:noWrap/>
            <w:vAlign w:val="center"/>
            <w:hideMark/>
          </w:tcPr>
          <w:p w14:paraId="7E0E1F1E"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21</w:t>
            </w:r>
          </w:p>
        </w:tc>
        <w:tc>
          <w:tcPr>
            <w:tcW w:w="2279" w:type="pct"/>
            <w:shd w:val="clear" w:color="000000" w:fill="FFFFFF"/>
            <w:vAlign w:val="center"/>
            <w:hideMark/>
          </w:tcPr>
          <w:p w14:paraId="7ECCC266" w14:textId="77777777" w:rsidR="00BC08DB" w:rsidRPr="00BC08DB" w:rsidRDefault="00BC08DB" w:rsidP="00BC08DB">
            <w:pPr>
              <w:spacing w:after="0" w:line="240" w:lineRule="auto"/>
              <w:rPr>
                <w:rFonts w:eastAsia="Times New Roman" w:cstheme="minorHAnsi"/>
                <w:lang w:eastAsia="fr-FR"/>
              </w:rPr>
            </w:pPr>
            <w:proofErr w:type="spellStart"/>
            <w:r w:rsidRPr="00BC08DB">
              <w:rPr>
                <w:rFonts w:eastAsia="Times New Roman" w:cstheme="minorHAnsi"/>
                <w:lang w:eastAsia="fr-FR"/>
              </w:rPr>
              <w:t>Private</w:t>
            </w:r>
            <w:proofErr w:type="spellEnd"/>
            <w:r w:rsidRPr="00BC08DB">
              <w:rPr>
                <w:rFonts w:eastAsia="Times New Roman" w:cstheme="minorHAnsi"/>
                <w:lang w:eastAsia="fr-FR"/>
              </w:rPr>
              <w:t xml:space="preserve"> Sector Health Project Final Performance Report, </w:t>
            </w:r>
            <w:proofErr w:type="spellStart"/>
            <w:r w:rsidRPr="00BC08DB">
              <w:rPr>
                <w:rFonts w:eastAsia="Times New Roman" w:cstheme="minorHAnsi"/>
                <w:lang w:eastAsia="fr-FR"/>
              </w:rPr>
              <w:t>Dec</w:t>
            </w:r>
            <w:proofErr w:type="spellEnd"/>
            <w:r w:rsidRPr="00BC08DB">
              <w:rPr>
                <w:rFonts w:eastAsia="Times New Roman" w:cstheme="minorHAnsi"/>
                <w:lang w:eastAsia="fr-FR"/>
              </w:rPr>
              <w:t>. 2019 / USAID</w:t>
            </w:r>
          </w:p>
        </w:tc>
        <w:tc>
          <w:tcPr>
            <w:tcW w:w="1147" w:type="pct"/>
            <w:shd w:val="clear" w:color="000000" w:fill="FFFFFF"/>
            <w:vAlign w:val="center"/>
            <w:hideMark/>
          </w:tcPr>
          <w:p w14:paraId="104AB0A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p.25,29</w:t>
            </w:r>
          </w:p>
        </w:tc>
        <w:tc>
          <w:tcPr>
            <w:tcW w:w="512" w:type="pct"/>
            <w:shd w:val="clear" w:color="auto" w:fill="auto"/>
            <w:noWrap/>
            <w:vAlign w:val="center"/>
            <w:hideMark/>
          </w:tcPr>
          <w:p w14:paraId="1C68ACCC"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Anglais</w:t>
            </w:r>
          </w:p>
        </w:tc>
      </w:tr>
      <w:tr w:rsidR="00BC08DB" w:rsidRPr="00BC08DB" w14:paraId="5973275D" w14:textId="77777777" w:rsidTr="008713E4">
        <w:trPr>
          <w:trHeight w:val="266"/>
        </w:trPr>
        <w:tc>
          <w:tcPr>
            <w:tcW w:w="544" w:type="pct"/>
            <w:shd w:val="clear" w:color="000000" w:fill="D9D9D9"/>
            <w:noWrap/>
            <w:vAlign w:val="center"/>
            <w:hideMark/>
          </w:tcPr>
          <w:p w14:paraId="53ED537E"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1.3</w:t>
            </w:r>
          </w:p>
        </w:tc>
        <w:tc>
          <w:tcPr>
            <w:tcW w:w="518" w:type="pct"/>
            <w:shd w:val="clear" w:color="000000" w:fill="D9D9D9"/>
            <w:noWrap/>
            <w:vAlign w:val="center"/>
            <w:hideMark/>
          </w:tcPr>
          <w:p w14:paraId="52A8F259"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22</w:t>
            </w:r>
          </w:p>
        </w:tc>
        <w:tc>
          <w:tcPr>
            <w:tcW w:w="2279" w:type="pct"/>
            <w:shd w:val="clear" w:color="000000" w:fill="FFFFFF"/>
            <w:vAlign w:val="center"/>
            <w:hideMark/>
          </w:tcPr>
          <w:p w14:paraId="3666178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Plan Opérationnel d’Accélération de lutte contre le sida en Côte d'Ivoire 2019-2020</w:t>
            </w:r>
          </w:p>
        </w:tc>
        <w:tc>
          <w:tcPr>
            <w:tcW w:w="1147" w:type="pct"/>
            <w:shd w:val="clear" w:color="000000" w:fill="FFFFFF"/>
            <w:vAlign w:val="center"/>
            <w:hideMark/>
          </w:tcPr>
          <w:p w14:paraId="05A24030"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p.6-8</w:t>
            </w:r>
          </w:p>
        </w:tc>
        <w:tc>
          <w:tcPr>
            <w:tcW w:w="512" w:type="pct"/>
            <w:shd w:val="clear" w:color="auto" w:fill="auto"/>
            <w:noWrap/>
            <w:vAlign w:val="center"/>
            <w:hideMark/>
          </w:tcPr>
          <w:p w14:paraId="3C851B3F"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035A4786" w14:textId="77777777" w:rsidTr="008713E4">
        <w:trPr>
          <w:trHeight w:val="514"/>
        </w:trPr>
        <w:tc>
          <w:tcPr>
            <w:tcW w:w="544" w:type="pct"/>
            <w:shd w:val="clear" w:color="000000" w:fill="D9D9D9"/>
            <w:vAlign w:val="center"/>
            <w:hideMark/>
          </w:tcPr>
          <w:p w14:paraId="31B9EEB5"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2.1</w:t>
            </w:r>
            <w:r w:rsidRPr="00BC08DB">
              <w:rPr>
                <w:rFonts w:eastAsia="Times New Roman" w:cstheme="minorHAnsi"/>
                <w:lang w:eastAsia="fr-FR"/>
              </w:rPr>
              <w:br/>
              <w:t>2.2</w:t>
            </w:r>
          </w:p>
        </w:tc>
        <w:tc>
          <w:tcPr>
            <w:tcW w:w="518" w:type="pct"/>
            <w:shd w:val="clear" w:color="000000" w:fill="D9D9D9"/>
            <w:noWrap/>
            <w:vAlign w:val="center"/>
            <w:hideMark/>
          </w:tcPr>
          <w:p w14:paraId="45075A03"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23</w:t>
            </w:r>
          </w:p>
        </w:tc>
        <w:tc>
          <w:tcPr>
            <w:tcW w:w="2279" w:type="pct"/>
            <w:shd w:val="clear" w:color="000000" w:fill="FFFFFF"/>
            <w:vAlign w:val="center"/>
            <w:hideMark/>
          </w:tcPr>
          <w:p w14:paraId="46151123"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Modélisation de scenarios de couverture et d’impact du PNLS pour </w:t>
            </w:r>
            <w:proofErr w:type="gramStart"/>
            <w:r w:rsidRPr="00BC08DB">
              <w:rPr>
                <w:rFonts w:eastAsia="Times New Roman" w:cstheme="minorHAnsi"/>
                <w:lang w:eastAsia="fr-FR"/>
              </w:rPr>
              <w:t>le  PSN</w:t>
            </w:r>
            <w:proofErr w:type="gramEnd"/>
            <w:r w:rsidRPr="00BC08DB">
              <w:rPr>
                <w:rFonts w:eastAsia="Times New Roman" w:cstheme="minorHAnsi"/>
                <w:lang w:eastAsia="fr-FR"/>
              </w:rPr>
              <w:t xml:space="preserve"> 2021-2025 de la Côte d’Ivoire: Méthodes et Résultats </w:t>
            </w:r>
          </w:p>
        </w:tc>
        <w:tc>
          <w:tcPr>
            <w:tcW w:w="1147" w:type="pct"/>
            <w:shd w:val="clear" w:color="000000" w:fill="FFFFFF"/>
            <w:vAlign w:val="center"/>
            <w:hideMark/>
          </w:tcPr>
          <w:p w14:paraId="313F42B5"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Section 2.1 : p.6,</w:t>
            </w:r>
            <w:proofErr w:type="gramStart"/>
            <w:r w:rsidRPr="00BC08DB">
              <w:rPr>
                <w:rFonts w:eastAsia="Times New Roman" w:cstheme="minorHAnsi"/>
                <w:lang w:eastAsia="fr-FR"/>
              </w:rPr>
              <w:t>8;</w:t>
            </w:r>
            <w:proofErr w:type="gramEnd"/>
            <w:r w:rsidRPr="00BC08DB">
              <w:rPr>
                <w:rFonts w:eastAsia="Times New Roman" w:cstheme="minorHAnsi"/>
                <w:lang w:eastAsia="fr-FR"/>
              </w:rPr>
              <w:t xml:space="preserve"> p.13; p.15</w:t>
            </w:r>
            <w:r w:rsidRPr="00BC08DB">
              <w:rPr>
                <w:rFonts w:eastAsia="Times New Roman" w:cstheme="minorHAnsi"/>
                <w:lang w:eastAsia="fr-FR"/>
              </w:rPr>
              <w:br/>
              <w:t>Section 2.2 : p.13</w:t>
            </w:r>
          </w:p>
        </w:tc>
        <w:tc>
          <w:tcPr>
            <w:tcW w:w="512" w:type="pct"/>
            <w:shd w:val="clear" w:color="auto" w:fill="auto"/>
            <w:noWrap/>
            <w:vAlign w:val="center"/>
            <w:hideMark/>
          </w:tcPr>
          <w:p w14:paraId="62EEEF2C"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0C1941E1" w14:textId="77777777" w:rsidTr="008713E4">
        <w:trPr>
          <w:trHeight w:val="240"/>
        </w:trPr>
        <w:tc>
          <w:tcPr>
            <w:tcW w:w="544" w:type="pct"/>
            <w:shd w:val="clear" w:color="000000" w:fill="D9D9D9"/>
            <w:noWrap/>
            <w:vAlign w:val="center"/>
            <w:hideMark/>
          </w:tcPr>
          <w:p w14:paraId="39769FAB"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2.1</w:t>
            </w:r>
          </w:p>
        </w:tc>
        <w:tc>
          <w:tcPr>
            <w:tcW w:w="518" w:type="pct"/>
            <w:shd w:val="clear" w:color="000000" w:fill="D9D9D9"/>
            <w:noWrap/>
            <w:vAlign w:val="center"/>
            <w:hideMark/>
          </w:tcPr>
          <w:p w14:paraId="16D8419C"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24</w:t>
            </w:r>
          </w:p>
        </w:tc>
        <w:tc>
          <w:tcPr>
            <w:tcW w:w="2279" w:type="pct"/>
            <w:shd w:val="clear" w:color="000000" w:fill="FFFFFF"/>
            <w:vAlign w:val="center"/>
            <w:hideMark/>
          </w:tcPr>
          <w:p w14:paraId="0159B30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Rapport Dialogue Pays des trois pathologies VIH, Paludisme et Tuberculose, CCM mai 2020</w:t>
            </w:r>
          </w:p>
        </w:tc>
        <w:tc>
          <w:tcPr>
            <w:tcW w:w="1147" w:type="pct"/>
            <w:shd w:val="clear" w:color="000000" w:fill="FFFFFF"/>
            <w:vAlign w:val="center"/>
            <w:hideMark/>
          </w:tcPr>
          <w:p w14:paraId="6935AD3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4B4408FA"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171DF37E" w14:textId="77777777" w:rsidTr="008713E4">
        <w:trPr>
          <w:trHeight w:val="190"/>
        </w:trPr>
        <w:tc>
          <w:tcPr>
            <w:tcW w:w="544" w:type="pct"/>
            <w:shd w:val="clear" w:color="000000" w:fill="D9D9D9"/>
            <w:noWrap/>
            <w:vAlign w:val="center"/>
            <w:hideMark/>
          </w:tcPr>
          <w:p w14:paraId="40010D29"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2.1</w:t>
            </w:r>
          </w:p>
        </w:tc>
        <w:tc>
          <w:tcPr>
            <w:tcW w:w="518" w:type="pct"/>
            <w:shd w:val="clear" w:color="000000" w:fill="D9D9D9"/>
            <w:noWrap/>
            <w:vAlign w:val="center"/>
            <w:hideMark/>
          </w:tcPr>
          <w:p w14:paraId="0362AF1F"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25</w:t>
            </w:r>
          </w:p>
        </w:tc>
        <w:tc>
          <w:tcPr>
            <w:tcW w:w="2279" w:type="pct"/>
            <w:shd w:val="clear" w:color="000000" w:fill="FFFFFF"/>
            <w:vAlign w:val="center"/>
            <w:hideMark/>
          </w:tcPr>
          <w:p w14:paraId="7BE4E7D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Rapport du Dialogue pays VIH, CCM mai 2020</w:t>
            </w:r>
          </w:p>
        </w:tc>
        <w:tc>
          <w:tcPr>
            <w:tcW w:w="1147" w:type="pct"/>
            <w:shd w:val="clear" w:color="000000" w:fill="FFFFFF"/>
            <w:vAlign w:val="center"/>
            <w:hideMark/>
          </w:tcPr>
          <w:p w14:paraId="179F0A0F"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4B51AB1A"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6A367915" w14:textId="77777777" w:rsidTr="008713E4">
        <w:trPr>
          <w:trHeight w:val="95"/>
        </w:trPr>
        <w:tc>
          <w:tcPr>
            <w:tcW w:w="544" w:type="pct"/>
            <w:shd w:val="clear" w:color="000000" w:fill="D9D9D9"/>
            <w:noWrap/>
            <w:vAlign w:val="center"/>
            <w:hideMark/>
          </w:tcPr>
          <w:p w14:paraId="7312E397"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2.1</w:t>
            </w:r>
          </w:p>
        </w:tc>
        <w:tc>
          <w:tcPr>
            <w:tcW w:w="518" w:type="pct"/>
            <w:shd w:val="clear" w:color="000000" w:fill="D9D9D9"/>
            <w:noWrap/>
            <w:vAlign w:val="center"/>
            <w:hideMark/>
          </w:tcPr>
          <w:p w14:paraId="36B20840"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26</w:t>
            </w:r>
          </w:p>
        </w:tc>
        <w:tc>
          <w:tcPr>
            <w:tcW w:w="2279" w:type="pct"/>
            <w:shd w:val="clear" w:color="000000" w:fill="FFFFFF"/>
            <w:vAlign w:val="center"/>
            <w:hideMark/>
          </w:tcPr>
          <w:p w14:paraId="66F3446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Compte rendu du Dialogue pays Communautaire VIH, Alliance Côte d’Ivoire, mai 2020</w:t>
            </w:r>
          </w:p>
        </w:tc>
        <w:tc>
          <w:tcPr>
            <w:tcW w:w="1147" w:type="pct"/>
            <w:shd w:val="clear" w:color="000000" w:fill="FFFFFF"/>
            <w:vAlign w:val="center"/>
            <w:hideMark/>
          </w:tcPr>
          <w:p w14:paraId="1D943CB9"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p.8</w:t>
            </w:r>
          </w:p>
        </w:tc>
        <w:tc>
          <w:tcPr>
            <w:tcW w:w="512" w:type="pct"/>
            <w:shd w:val="clear" w:color="auto" w:fill="auto"/>
            <w:noWrap/>
            <w:vAlign w:val="center"/>
            <w:hideMark/>
          </w:tcPr>
          <w:p w14:paraId="5AEA511C"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0B1B09B2" w14:textId="77777777" w:rsidTr="008713E4">
        <w:trPr>
          <w:trHeight w:val="200"/>
        </w:trPr>
        <w:tc>
          <w:tcPr>
            <w:tcW w:w="544" w:type="pct"/>
            <w:shd w:val="clear" w:color="000000" w:fill="D9D9D9"/>
            <w:noWrap/>
            <w:vAlign w:val="center"/>
            <w:hideMark/>
          </w:tcPr>
          <w:p w14:paraId="46D019A2"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3874311F"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27</w:t>
            </w:r>
          </w:p>
        </w:tc>
        <w:tc>
          <w:tcPr>
            <w:tcW w:w="2279" w:type="pct"/>
            <w:shd w:val="clear" w:color="000000" w:fill="FFFFFF"/>
            <w:vAlign w:val="center"/>
            <w:hideMark/>
          </w:tcPr>
          <w:p w14:paraId="5C8D40DC"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Cartographie de l'offre de service PEPFAR et FM, mai 2020</w:t>
            </w:r>
          </w:p>
        </w:tc>
        <w:tc>
          <w:tcPr>
            <w:tcW w:w="1147" w:type="pct"/>
            <w:shd w:val="clear" w:color="000000" w:fill="FFFFFF"/>
            <w:vAlign w:val="center"/>
            <w:hideMark/>
          </w:tcPr>
          <w:p w14:paraId="31FE2684"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7E1873AF"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74ECA3DF" w14:textId="77777777" w:rsidTr="008713E4">
        <w:trPr>
          <w:trHeight w:val="292"/>
        </w:trPr>
        <w:tc>
          <w:tcPr>
            <w:tcW w:w="544" w:type="pct"/>
            <w:shd w:val="clear" w:color="000000" w:fill="D9D9D9"/>
            <w:noWrap/>
            <w:vAlign w:val="center"/>
            <w:hideMark/>
          </w:tcPr>
          <w:p w14:paraId="274FB4BA"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37D50CDA"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28</w:t>
            </w:r>
          </w:p>
        </w:tc>
        <w:tc>
          <w:tcPr>
            <w:tcW w:w="2279" w:type="pct"/>
            <w:shd w:val="clear" w:color="000000" w:fill="FFFFFF"/>
            <w:vAlign w:val="center"/>
            <w:hideMark/>
          </w:tcPr>
          <w:p w14:paraId="035AD367"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Document de normes nationales de prévention combinée VIH pour les TS, HSH et UD - 2017</w:t>
            </w:r>
          </w:p>
        </w:tc>
        <w:tc>
          <w:tcPr>
            <w:tcW w:w="1147" w:type="pct"/>
            <w:shd w:val="clear" w:color="000000" w:fill="FFFFFF"/>
            <w:vAlign w:val="center"/>
            <w:hideMark/>
          </w:tcPr>
          <w:p w14:paraId="4E6CBF7A"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p.17</w:t>
            </w:r>
          </w:p>
        </w:tc>
        <w:tc>
          <w:tcPr>
            <w:tcW w:w="512" w:type="pct"/>
            <w:shd w:val="clear" w:color="auto" w:fill="auto"/>
            <w:noWrap/>
            <w:vAlign w:val="center"/>
            <w:hideMark/>
          </w:tcPr>
          <w:p w14:paraId="3CFA99D7"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429EE6C9" w14:textId="77777777" w:rsidTr="008713E4">
        <w:trPr>
          <w:trHeight w:val="384"/>
        </w:trPr>
        <w:tc>
          <w:tcPr>
            <w:tcW w:w="544" w:type="pct"/>
            <w:shd w:val="clear" w:color="000000" w:fill="D9D9D9"/>
            <w:noWrap/>
            <w:vAlign w:val="center"/>
            <w:hideMark/>
          </w:tcPr>
          <w:p w14:paraId="355788E4"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7A2B5570"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29</w:t>
            </w:r>
          </w:p>
        </w:tc>
        <w:tc>
          <w:tcPr>
            <w:tcW w:w="2279" w:type="pct"/>
            <w:shd w:val="clear" w:color="000000" w:fill="FFFFFF"/>
            <w:vAlign w:val="center"/>
            <w:hideMark/>
          </w:tcPr>
          <w:p w14:paraId="6B7995E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Directive Nationale de la Prévention Combinée des IST et du VIH chez les Adolescent(e)s et Jeunes, 2020</w:t>
            </w:r>
          </w:p>
        </w:tc>
        <w:tc>
          <w:tcPr>
            <w:tcW w:w="1147" w:type="pct"/>
            <w:shd w:val="clear" w:color="000000" w:fill="FFFFFF"/>
            <w:vAlign w:val="center"/>
            <w:hideMark/>
          </w:tcPr>
          <w:p w14:paraId="3277E40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p.8</w:t>
            </w:r>
          </w:p>
        </w:tc>
        <w:tc>
          <w:tcPr>
            <w:tcW w:w="512" w:type="pct"/>
            <w:shd w:val="clear" w:color="auto" w:fill="auto"/>
            <w:noWrap/>
            <w:vAlign w:val="center"/>
            <w:hideMark/>
          </w:tcPr>
          <w:p w14:paraId="3C73D428"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460312FE" w14:textId="77777777" w:rsidTr="008713E4">
        <w:trPr>
          <w:trHeight w:val="252"/>
        </w:trPr>
        <w:tc>
          <w:tcPr>
            <w:tcW w:w="544" w:type="pct"/>
            <w:shd w:val="clear" w:color="000000" w:fill="D9D9D9"/>
            <w:noWrap/>
            <w:vAlign w:val="center"/>
            <w:hideMark/>
          </w:tcPr>
          <w:p w14:paraId="65088835"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135E3545"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30</w:t>
            </w:r>
          </w:p>
        </w:tc>
        <w:tc>
          <w:tcPr>
            <w:tcW w:w="2279" w:type="pct"/>
            <w:shd w:val="clear" w:color="000000" w:fill="FFFFFF"/>
            <w:vAlign w:val="center"/>
            <w:hideMark/>
          </w:tcPr>
          <w:p w14:paraId="202E4DA4"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Enquête par grappes à indicateurs multiples - Côte d’Ivoire </w:t>
            </w:r>
            <w:proofErr w:type="gramStart"/>
            <w:r w:rsidRPr="00BC08DB">
              <w:rPr>
                <w:rFonts w:eastAsia="Times New Roman" w:cstheme="minorHAnsi"/>
                <w:lang w:eastAsia="fr-FR"/>
              </w:rPr>
              <w:t>2016:</w:t>
            </w:r>
            <w:proofErr w:type="gramEnd"/>
            <w:r w:rsidRPr="00BC08DB">
              <w:rPr>
                <w:rFonts w:eastAsia="Times New Roman" w:cstheme="minorHAnsi"/>
                <w:lang w:eastAsia="fr-FR"/>
              </w:rPr>
              <w:t xml:space="preserve"> La situation des femmes et des enfants en Côte d'Ivoire</w:t>
            </w:r>
          </w:p>
        </w:tc>
        <w:tc>
          <w:tcPr>
            <w:tcW w:w="1147" w:type="pct"/>
            <w:shd w:val="clear" w:color="000000" w:fill="FFFFFF"/>
            <w:vAlign w:val="center"/>
            <w:hideMark/>
          </w:tcPr>
          <w:p w14:paraId="2B65618C"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p.155; p.157</w:t>
            </w:r>
          </w:p>
        </w:tc>
        <w:tc>
          <w:tcPr>
            <w:tcW w:w="512" w:type="pct"/>
            <w:shd w:val="clear" w:color="auto" w:fill="auto"/>
            <w:noWrap/>
            <w:vAlign w:val="center"/>
            <w:hideMark/>
          </w:tcPr>
          <w:p w14:paraId="6B5C10F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2E6FBD44" w14:textId="77777777" w:rsidTr="008713E4">
        <w:trPr>
          <w:trHeight w:val="930"/>
        </w:trPr>
        <w:tc>
          <w:tcPr>
            <w:tcW w:w="544" w:type="pct"/>
            <w:shd w:val="clear" w:color="000000" w:fill="D9D9D9"/>
            <w:noWrap/>
            <w:vAlign w:val="center"/>
            <w:hideMark/>
          </w:tcPr>
          <w:p w14:paraId="7EFC7682"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365B4A12"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31</w:t>
            </w:r>
          </w:p>
        </w:tc>
        <w:tc>
          <w:tcPr>
            <w:tcW w:w="2279" w:type="pct"/>
            <w:shd w:val="clear" w:color="000000" w:fill="FFFFFF"/>
            <w:vAlign w:val="center"/>
            <w:hideMark/>
          </w:tcPr>
          <w:p w14:paraId="67355D4B"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Enquête socio-anthropologique sur les déterminants de la faible demande de dépistage du VIH-sida en Côte d’Ivoire : Etude pour une efficacité de la stratégie et des outils de communication</w:t>
            </w:r>
          </w:p>
        </w:tc>
        <w:tc>
          <w:tcPr>
            <w:tcW w:w="1147" w:type="pct"/>
            <w:shd w:val="clear" w:color="000000" w:fill="FFFFFF"/>
            <w:vAlign w:val="center"/>
            <w:hideMark/>
          </w:tcPr>
          <w:p w14:paraId="0548EE6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p.95,100</w:t>
            </w:r>
          </w:p>
        </w:tc>
        <w:tc>
          <w:tcPr>
            <w:tcW w:w="512" w:type="pct"/>
            <w:shd w:val="clear" w:color="auto" w:fill="auto"/>
            <w:noWrap/>
            <w:vAlign w:val="center"/>
            <w:hideMark/>
          </w:tcPr>
          <w:p w14:paraId="59EE84F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7CE7B5A4" w14:textId="77777777" w:rsidTr="008713E4">
        <w:trPr>
          <w:trHeight w:val="176"/>
        </w:trPr>
        <w:tc>
          <w:tcPr>
            <w:tcW w:w="544" w:type="pct"/>
            <w:shd w:val="clear" w:color="000000" w:fill="D9D9D9"/>
            <w:noWrap/>
            <w:vAlign w:val="center"/>
            <w:hideMark/>
          </w:tcPr>
          <w:p w14:paraId="0FBCA2C3"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52BCCA23"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32</w:t>
            </w:r>
          </w:p>
        </w:tc>
        <w:tc>
          <w:tcPr>
            <w:tcW w:w="2279" w:type="pct"/>
            <w:shd w:val="clear" w:color="000000" w:fill="FFFFFF"/>
            <w:vAlign w:val="center"/>
            <w:hideMark/>
          </w:tcPr>
          <w:p w14:paraId="2FA37C81"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Plan Stratégique National de Lutte contre les IST, le VIH et le sida 2016-2020</w:t>
            </w:r>
          </w:p>
        </w:tc>
        <w:tc>
          <w:tcPr>
            <w:tcW w:w="1147" w:type="pct"/>
            <w:shd w:val="clear" w:color="000000" w:fill="FFFFFF"/>
            <w:vAlign w:val="center"/>
            <w:hideMark/>
          </w:tcPr>
          <w:p w14:paraId="2DEC27E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p.90</w:t>
            </w:r>
          </w:p>
        </w:tc>
        <w:tc>
          <w:tcPr>
            <w:tcW w:w="512" w:type="pct"/>
            <w:shd w:val="clear" w:color="auto" w:fill="auto"/>
            <w:noWrap/>
            <w:vAlign w:val="center"/>
            <w:hideMark/>
          </w:tcPr>
          <w:p w14:paraId="57C35D86"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7945F79C" w14:textId="77777777" w:rsidTr="008713E4">
        <w:trPr>
          <w:trHeight w:val="552"/>
        </w:trPr>
        <w:tc>
          <w:tcPr>
            <w:tcW w:w="544" w:type="pct"/>
            <w:shd w:val="clear" w:color="000000" w:fill="D9D9D9"/>
            <w:noWrap/>
            <w:vAlign w:val="center"/>
            <w:hideMark/>
          </w:tcPr>
          <w:p w14:paraId="60305E38"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3A9B7E1C"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33</w:t>
            </w:r>
          </w:p>
        </w:tc>
        <w:tc>
          <w:tcPr>
            <w:tcW w:w="2279" w:type="pct"/>
            <w:shd w:val="clear" w:color="000000" w:fill="FFFFFF"/>
            <w:vAlign w:val="center"/>
            <w:hideMark/>
          </w:tcPr>
          <w:p w14:paraId="7A41C3FF"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Rapport Campagne annuelle de </w:t>
            </w:r>
            <w:proofErr w:type="spellStart"/>
            <w:r w:rsidRPr="00BC08DB">
              <w:rPr>
                <w:rFonts w:eastAsia="Times New Roman" w:cstheme="minorHAnsi"/>
                <w:lang w:eastAsia="fr-FR"/>
              </w:rPr>
              <w:t>pladoyer</w:t>
            </w:r>
            <w:proofErr w:type="spellEnd"/>
            <w:r w:rsidRPr="00BC08DB">
              <w:rPr>
                <w:rFonts w:eastAsia="Times New Roman" w:cstheme="minorHAnsi"/>
                <w:lang w:eastAsia="fr-FR"/>
              </w:rPr>
              <w:t xml:space="preserve"> en vue d’un environnement juridique et politique favorable sur la base des données de l’observatoire – année 2019 </w:t>
            </w:r>
          </w:p>
        </w:tc>
        <w:tc>
          <w:tcPr>
            <w:tcW w:w="1147" w:type="pct"/>
            <w:shd w:val="clear" w:color="000000" w:fill="FFFFFF"/>
            <w:vAlign w:val="center"/>
            <w:hideMark/>
          </w:tcPr>
          <w:p w14:paraId="480906F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1D5C4EC1"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4876CF88" w14:textId="77777777" w:rsidTr="008713E4">
        <w:trPr>
          <w:trHeight w:val="197"/>
        </w:trPr>
        <w:tc>
          <w:tcPr>
            <w:tcW w:w="544" w:type="pct"/>
            <w:shd w:val="clear" w:color="000000" w:fill="D9D9D9"/>
            <w:noWrap/>
            <w:vAlign w:val="center"/>
            <w:hideMark/>
          </w:tcPr>
          <w:p w14:paraId="0C39100A"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0429068F"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34</w:t>
            </w:r>
          </w:p>
        </w:tc>
        <w:tc>
          <w:tcPr>
            <w:tcW w:w="2279" w:type="pct"/>
            <w:shd w:val="clear" w:color="000000" w:fill="FFFFFF"/>
            <w:vAlign w:val="center"/>
            <w:hideMark/>
          </w:tcPr>
          <w:p w14:paraId="34ED54E5"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Document de stratégie nationale de lutte contre les violences basées sur le genre</w:t>
            </w:r>
          </w:p>
        </w:tc>
        <w:tc>
          <w:tcPr>
            <w:tcW w:w="1147" w:type="pct"/>
            <w:shd w:val="clear" w:color="000000" w:fill="FFFFFF"/>
            <w:vAlign w:val="center"/>
            <w:hideMark/>
          </w:tcPr>
          <w:p w14:paraId="0FDEB0D5"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6D329479"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1DEFD068" w14:textId="77777777" w:rsidTr="008713E4">
        <w:trPr>
          <w:trHeight w:val="146"/>
        </w:trPr>
        <w:tc>
          <w:tcPr>
            <w:tcW w:w="544" w:type="pct"/>
            <w:shd w:val="clear" w:color="000000" w:fill="D9D9D9"/>
            <w:noWrap/>
            <w:vAlign w:val="center"/>
            <w:hideMark/>
          </w:tcPr>
          <w:p w14:paraId="11046BB3"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2.3</w:t>
            </w:r>
          </w:p>
        </w:tc>
        <w:tc>
          <w:tcPr>
            <w:tcW w:w="518" w:type="pct"/>
            <w:shd w:val="clear" w:color="000000" w:fill="D9D9D9"/>
            <w:noWrap/>
            <w:vAlign w:val="center"/>
            <w:hideMark/>
          </w:tcPr>
          <w:p w14:paraId="71A47CF4"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35</w:t>
            </w:r>
          </w:p>
        </w:tc>
        <w:tc>
          <w:tcPr>
            <w:tcW w:w="2279" w:type="pct"/>
            <w:shd w:val="clear" w:color="000000" w:fill="FFFFFF"/>
            <w:vAlign w:val="center"/>
            <w:hideMark/>
          </w:tcPr>
          <w:p w14:paraId="4E5A8F0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Plan Quinquennal Droits Humains, VIH et Tuberculose de la Côte d’Ivoire (2021-2025)</w:t>
            </w:r>
          </w:p>
        </w:tc>
        <w:tc>
          <w:tcPr>
            <w:tcW w:w="1147" w:type="pct"/>
            <w:shd w:val="clear" w:color="000000" w:fill="FFFFFF"/>
            <w:vAlign w:val="center"/>
            <w:hideMark/>
          </w:tcPr>
          <w:p w14:paraId="032EF404"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3B53EE75"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59C954BE" w14:textId="77777777" w:rsidTr="008713E4">
        <w:trPr>
          <w:trHeight w:val="238"/>
        </w:trPr>
        <w:tc>
          <w:tcPr>
            <w:tcW w:w="544" w:type="pct"/>
            <w:shd w:val="clear" w:color="000000" w:fill="D9D9D9"/>
            <w:noWrap/>
            <w:vAlign w:val="center"/>
            <w:hideMark/>
          </w:tcPr>
          <w:p w14:paraId="141ADE5B"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3.b</w:t>
            </w:r>
          </w:p>
        </w:tc>
        <w:tc>
          <w:tcPr>
            <w:tcW w:w="518" w:type="pct"/>
            <w:shd w:val="clear" w:color="000000" w:fill="D9D9D9"/>
            <w:noWrap/>
            <w:vAlign w:val="center"/>
            <w:hideMark/>
          </w:tcPr>
          <w:p w14:paraId="65D101DA"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36</w:t>
            </w:r>
          </w:p>
        </w:tc>
        <w:tc>
          <w:tcPr>
            <w:tcW w:w="2279" w:type="pct"/>
            <w:shd w:val="clear" w:color="000000" w:fill="FFFFFF"/>
            <w:vAlign w:val="center"/>
            <w:hideMark/>
          </w:tcPr>
          <w:p w14:paraId="1E40FC43"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Plan Stratégique National de la Santé Communautaire 2017-2021</w:t>
            </w:r>
          </w:p>
        </w:tc>
        <w:tc>
          <w:tcPr>
            <w:tcW w:w="1147" w:type="pct"/>
            <w:shd w:val="clear" w:color="000000" w:fill="FFFFFF"/>
            <w:vAlign w:val="center"/>
            <w:hideMark/>
          </w:tcPr>
          <w:p w14:paraId="3E1A57A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13A270A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2CED0382" w14:textId="77777777" w:rsidTr="008713E4">
        <w:trPr>
          <w:trHeight w:val="930"/>
        </w:trPr>
        <w:tc>
          <w:tcPr>
            <w:tcW w:w="544" w:type="pct"/>
            <w:shd w:val="clear" w:color="000000" w:fill="D9D9D9"/>
            <w:noWrap/>
            <w:vAlign w:val="center"/>
            <w:hideMark/>
          </w:tcPr>
          <w:p w14:paraId="1BC4EA32"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4.2</w:t>
            </w:r>
          </w:p>
        </w:tc>
        <w:tc>
          <w:tcPr>
            <w:tcW w:w="518" w:type="pct"/>
            <w:shd w:val="clear" w:color="000000" w:fill="D9D9D9"/>
            <w:noWrap/>
            <w:vAlign w:val="center"/>
            <w:hideMark/>
          </w:tcPr>
          <w:p w14:paraId="6C594C97"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37</w:t>
            </w:r>
          </w:p>
        </w:tc>
        <w:tc>
          <w:tcPr>
            <w:tcW w:w="2279" w:type="pct"/>
            <w:shd w:val="clear" w:color="000000" w:fill="FFFFFF"/>
            <w:vAlign w:val="center"/>
            <w:hideMark/>
          </w:tcPr>
          <w:p w14:paraId="38DC212F"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xml:space="preserve">Rapport d’évaluation de l’état de préparation à la transition et à la pérennité des financements des interventions liées au VIH et aux IST en Côte d’Ivoire </w:t>
            </w:r>
          </w:p>
        </w:tc>
        <w:tc>
          <w:tcPr>
            <w:tcW w:w="1147" w:type="pct"/>
            <w:shd w:val="clear" w:color="000000" w:fill="FFFFFF"/>
            <w:vAlign w:val="center"/>
            <w:hideMark/>
          </w:tcPr>
          <w:p w14:paraId="6FF1EA4D"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2EB6913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Français</w:t>
            </w:r>
          </w:p>
        </w:tc>
      </w:tr>
      <w:tr w:rsidR="00BC08DB" w:rsidRPr="00BC08DB" w14:paraId="6AEF5240" w14:textId="77777777" w:rsidTr="008713E4">
        <w:trPr>
          <w:trHeight w:val="400"/>
        </w:trPr>
        <w:tc>
          <w:tcPr>
            <w:tcW w:w="544" w:type="pct"/>
            <w:shd w:val="clear" w:color="000000" w:fill="D9D9D9"/>
            <w:noWrap/>
            <w:vAlign w:val="center"/>
            <w:hideMark/>
          </w:tcPr>
          <w:p w14:paraId="1BAC4BA0"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2.2</w:t>
            </w:r>
          </w:p>
        </w:tc>
        <w:tc>
          <w:tcPr>
            <w:tcW w:w="518" w:type="pct"/>
            <w:shd w:val="clear" w:color="000000" w:fill="D9D9D9"/>
            <w:noWrap/>
            <w:vAlign w:val="center"/>
            <w:hideMark/>
          </w:tcPr>
          <w:p w14:paraId="3BDDF1D9" w14:textId="77777777" w:rsidR="00BC08DB" w:rsidRPr="00BC08DB" w:rsidRDefault="00BC08DB" w:rsidP="00BC08DB">
            <w:pPr>
              <w:spacing w:after="0" w:line="240" w:lineRule="auto"/>
              <w:jc w:val="center"/>
              <w:rPr>
                <w:rFonts w:eastAsia="Times New Roman" w:cstheme="minorHAnsi"/>
                <w:lang w:eastAsia="fr-FR"/>
              </w:rPr>
            </w:pPr>
            <w:r w:rsidRPr="00BC08DB">
              <w:rPr>
                <w:rFonts w:eastAsia="Times New Roman" w:cstheme="minorHAnsi"/>
                <w:lang w:eastAsia="fr-FR"/>
              </w:rPr>
              <w:t>Annexe 38</w:t>
            </w:r>
          </w:p>
        </w:tc>
        <w:tc>
          <w:tcPr>
            <w:tcW w:w="2279" w:type="pct"/>
            <w:shd w:val="clear" w:color="000000" w:fill="FFFFFF"/>
            <w:vAlign w:val="center"/>
            <w:hideMark/>
          </w:tcPr>
          <w:p w14:paraId="4C93D890"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Base de données CIPHIA 2017-2018</w:t>
            </w:r>
          </w:p>
        </w:tc>
        <w:tc>
          <w:tcPr>
            <w:tcW w:w="1147" w:type="pct"/>
            <w:shd w:val="clear" w:color="000000" w:fill="FFFFFF"/>
            <w:vAlign w:val="center"/>
            <w:hideMark/>
          </w:tcPr>
          <w:p w14:paraId="5EE7F822"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 </w:t>
            </w:r>
          </w:p>
        </w:tc>
        <w:tc>
          <w:tcPr>
            <w:tcW w:w="512" w:type="pct"/>
            <w:shd w:val="clear" w:color="auto" w:fill="auto"/>
            <w:noWrap/>
            <w:vAlign w:val="center"/>
            <w:hideMark/>
          </w:tcPr>
          <w:p w14:paraId="042718CE" w14:textId="77777777" w:rsidR="00BC08DB" w:rsidRPr="00BC08DB" w:rsidRDefault="00BC08DB" w:rsidP="00BC08DB">
            <w:pPr>
              <w:spacing w:after="0" w:line="240" w:lineRule="auto"/>
              <w:rPr>
                <w:rFonts w:eastAsia="Times New Roman" w:cstheme="minorHAnsi"/>
                <w:lang w:eastAsia="fr-FR"/>
              </w:rPr>
            </w:pPr>
            <w:r w:rsidRPr="00BC08DB">
              <w:rPr>
                <w:rFonts w:eastAsia="Times New Roman" w:cstheme="minorHAnsi"/>
                <w:lang w:eastAsia="fr-FR"/>
              </w:rPr>
              <w:t>Anglais</w:t>
            </w:r>
          </w:p>
        </w:tc>
      </w:tr>
    </w:tbl>
    <w:p w14:paraId="41F4A300" w14:textId="611E121C" w:rsidR="009954DA" w:rsidRDefault="009954DA" w:rsidP="009B6C0D">
      <w:pPr>
        <w:pStyle w:val="ListParagraph"/>
        <w:spacing w:after="0"/>
      </w:pPr>
    </w:p>
    <w:p w14:paraId="59A9B794" w14:textId="5EF488D2" w:rsidR="009954DA" w:rsidRDefault="009954DA" w:rsidP="009B6C0D">
      <w:pPr>
        <w:pStyle w:val="ListParagraph"/>
        <w:spacing w:after="0"/>
      </w:pPr>
    </w:p>
    <w:p w14:paraId="355DA25B" w14:textId="5DEB7CBA" w:rsidR="00DE1608" w:rsidRDefault="00DE1608" w:rsidP="009B6C0D">
      <w:pPr>
        <w:pStyle w:val="ListParagraph"/>
        <w:spacing w:after="0"/>
      </w:pPr>
    </w:p>
    <w:p w14:paraId="2E1CD106" w14:textId="228BAAC6" w:rsidR="009954DA" w:rsidRDefault="009954DA" w:rsidP="009B6C0D">
      <w:pPr>
        <w:pStyle w:val="ListParagraph"/>
        <w:spacing w:after="0"/>
      </w:pPr>
    </w:p>
    <w:p w14:paraId="63232E5E" w14:textId="57B6AE14" w:rsidR="009954DA" w:rsidRDefault="009954DA" w:rsidP="009B6C0D">
      <w:pPr>
        <w:pStyle w:val="ListParagraph"/>
        <w:spacing w:after="0"/>
      </w:pPr>
    </w:p>
    <w:p w14:paraId="16411E9E" w14:textId="77777777" w:rsidR="009954DA" w:rsidRPr="00E80CEF" w:rsidRDefault="009954DA" w:rsidP="009B6C0D">
      <w:pPr>
        <w:pStyle w:val="ListParagraph"/>
        <w:spacing w:after="0"/>
      </w:pPr>
    </w:p>
    <w:p w14:paraId="11D0AC52" w14:textId="13CEEFD3" w:rsidR="0098274C" w:rsidRPr="00E80CEF" w:rsidRDefault="0098274C" w:rsidP="00E80CEF">
      <w:pPr>
        <w:pStyle w:val="Heading2"/>
        <w:numPr>
          <w:ilvl w:val="1"/>
          <w:numId w:val="24"/>
        </w:numPr>
        <w:shd w:val="clear" w:color="auto" w:fill="D9D9D9" w:themeFill="background1" w:themeFillShade="D9"/>
        <w:spacing w:before="0"/>
        <w:contextualSpacing/>
      </w:pPr>
      <w:r w:rsidRPr="005305D5">
        <w:t>Résumé du contexte du pays</w:t>
      </w:r>
    </w:p>
    <w:p w14:paraId="1CB8ECC5" w14:textId="77777777" w:rsidR="009B6C0D" w:rsidRPr="00634219" w:rsidRDefault="009B6C0D" w:rsidP="009B6C0D">
      <w:pPr>
        <w:spacing w:after="0"/>
        <w:jc w:val="both"/>
      </w:pPr>
    </w:p>
    <w:p w14:paraId="5898BB00" w14:textId="04611D97" w:rsidR="009E6642" w:rsidRPr="00750CA9" w:rsidRDefault="000C4A65" w:rsidP="009B6C0D">
      <w:pPr>
        <w:spacing w:after="0"/>
        <w:jc w:val="both"/>
        <w:rPr>
          <w:rFonts w:ascii="Arial" w:hAnsi="Arial"/>
          <w:sz w:val="22"/>
        </w:rPr>
      </w:pPr>
      <w:r w:rsidRPr="004F1255">
        <w:t xml:space="preserve">Présenter les éléments cruciaux du </w:t>
      </w:r>
      <w:r w:rsidRPr="004F1255">
        <w:rPr>
          <w:b/>
        </w:rPr>
        <w:t>contexte du pays</w:t>
      </w:r>
      <w:r w:rsidRPr="004F1255">
        <w:t xml:space="preserve"> qui ont servi à élaborer la présente demande de financement. </w:t>
      </w:r>
    </w:p>
    <w:p w14:paraId="184A0E5E" w14:textId="7D5FFCE8" w:rsidR="00A321C0" w:rsidRPr="00750CA9" w:rsidRDefault="00A321C0" w:rsidP="009B6C0D">
      <w:pPr>
        <w:spacing w:after="0"/>
        <w:jc w:val="both"/>
        <w:rPr>
          <w:rFonts w:ascii="Arial" w:hAnsi="Arial"/>
          <w:sz w:val="22"/>
        </w:rPr>
      </w:pPr>
      <w:r w:rsidRPr="004F1255">
        <w:t>Les points suivants doivent être traités dans la réponse :</w:t>
      </w:r>
    </w:p>
    <w:p w14:paraId="66764B16" w14:textId="77777777" w:rsidR="009B6C0D" w:rsidRPr="00D236CA" w:rsidRDefault="009B6C0D" w:rsidP="009B6C0D">
      <w:pPr>
        <w:spacing w:after="0"/>
        <w:jc w:val="both"/>
      </w:pPr>
    </w:p>
    <w:p w14:paraId="50DE380F" w14:textId="22613C63" w:rsidR="00A321C0" w:rsidRPr="00D236CA" w:rsidRDefault="00CA301B" w:rsidP="00A140D5">
      <w:pPr>
        <w:pStyle w:val="ListParagraph"/>
        <w:numPr>
          <w:ilvl w:val="0"/>
          <w:numId w:val="23"/>
        </w:numPr>
        <w:spacing w:after="0"/>
        <w:jc w:val="both"/>
      </w:pPr>
      <w:proofErr w:type="gramStart"/>
      <w:r>
        <w:t>le</w:t>
      </w:r>
      <w:proofErr w:type="gramEnd"/>
      <w:r>
        <w:t xml:space="preserve"> contexte épidémiologique et d’autres informations pertinentes relatives à la maladie ; </w:t>
      </w:r>
    </w:p>
    <w:p w14:paraId="49150285" w14:textId="1AAD6CF6" w:rsidR="00A321C0" w:rsidRPr="00D236CA" w:rsidRDefault="00CA301B" w:rsidP="00A140D5">
      <w:pPr>
        <w:pStyle w:val="ListParagraph"/>
        <w:numPr>
          <w:ilvl w:val="0"/>
          <w:numId w:val="23"/>
        </w:numPr>
        <w:spacing w:after="0"/>
        <w:jc w:val="both"/>
      </w:pPr>
      <w:proofErr w:type="gramStart"/>
      <w:r>
        <w:t>des</w:t>
      </w:r>
      <w:proofErr w:type="gramEnd"/>
      <w:r>
        <w:t xml:space="preserve"> informations sur le système de santé spécialisé dans la maladie et le système de santé en général, ainsi que sur les liens qui existent entre eux ; </w:t>
      </w:r>
    </w:p>
    <w:p w14:paraId="3B7D3323" w14:textId="1812910B" w:rsidR="003440ED" w:rsidRPr="00D236CA" w:rsidRDefault="00CA301B" w:rsidP="00A140D5">
      <w:pPr>
        <w:pStyle w:val="ListParagraph"/>
        <w:numPr>
          <w:ilvl w:val="0"/>
          <w:numId w:val="23"/>
        </w:numPr>
        <w:spacing w:after="0"/>
        <w:jc w:val="both"/>
      </w:pPr>
      <w:proofErr w:type="gramStart"/>
      <w:r>
        <w:t>les</w:t>
      </w:r>
      <w:proofErr w:type="gramEnd"/>
      <w:r>
        <w:t xml:space="preserve"> populations-clés et/ou vulnérables concernées ; </w:t>
      </w:r>
    </w:p>
    <w:p w14:paraId="4D1FA686" w14:textId="19C24EEE" w:rsidR="003440ED" w:rsidRPr="00D236CA" w:rsidRDefault="00CA301B" w:rsidP="00A140D5">
      <w:pPr>
        <w:pStyle w:val="ListParagraph"/>
        <w:numPr>
          <w:ilvl w:val="0"/>
          <w:numId w:val="23"/>
        </w:numPr>
        <w:spacing w:after="0"/>
        <w:jc w:val="both"/>
      </w:pPr>
      <w:proofErr w:type="gramStart"/>
      <w:r>
        <w:t>les</w:t>
      </w:r>
      <w:proofErr w:type="gramEnd"/>
      <w:r>
        <w:t xml:space="preserve"> inégalités et les obstacles liés aux droits </w:t>
      </w:r>
      <w:r w:rsidR="00E232FC">
        <w:t>humains</w:t>
      </w:r>
      <w:r>
        <w:t xml:space="preserve">, au genre et à l’âge qui entravent l’accès aux services ; </w:t>
      </w:r>
    </w:p>
    <w:p w14:paraId="5244303B" w14:textId="5BE000FE" w:rsidR="003440ED" w:rsidRPr="00D236CA" w:rsidRDefault="00CA301B" w:rsidP="00A140D5">
      <w:pPr>
        <w:pStyle w:val="ListParagraph"/>
        <w:numPr>
          <w:ilvl w:val="0"/>
          <w:numId w:val="23"/>
        </w:numPr>
        <w:spacing w:after="0"/>
        <w:jc w:val="both"/>
      </w:pPr>
      <w:proofErr w:type="gramStart"/>
      <w:r>
        <w:t>les</w:t>
      </w:r>
      <w:proofErr w:type="gramEnd"/>
      <w:r>
        <w:t xml:space="preserve"> inégalités et les obstacles socioéconomiques, géographiques et autres qui entravent l’accès aux services de santé ; </w:t>
      </w:r>
    </w:p>
    <w:p w14:paraId="1CFB2133" w14:textId="21746F4D" w:rsidR="003440ED" w:rsidRPr="00D236CA" w:rsidRDefault="00CA301B" w:rsidP="00A140D5">
      <w:pPr>
        <w:pStyle w:val="ListParagraph"/>
        <w:numPr>
          <w:ilvl w:val="0"/>
          <w:numId w:val="23"/>
        </w:numPr>
        <w:spacing w:after="0"/>
        <w:jc w:val="both"/>
      </w:pPr>
      <w:proofErr w:type="gramStart"/>
      <w:r>
        <w:t>l’engagement</w:t>
      </w:r>
      <w:proofErr w:type="gramEnd"/>
      <w:r>
        <w:t xml:space="preserve"> et les ripostes communautaires ;</w:t>
      </w:r>
    </w:p>
    <w:p w14:paraId="1D6D5798" w14:textId="74D2FCEF" w:rsidR="00A321C0" w:rsidRPr="00D236CA" w:rsidRDefault="006D0956" w:rsidP="00A140D5">
      <w:pPr>
        <w:pStyle w:val="ListParagraph"/>
        <w:numPr>
          <w:ilvl w:val="0"/>
          <w:numId w:val="23"/>
        </w:numPr>
        <w:spacing w:after="0"/>
        <w:jc w:val="both"/>
      </w:pPr>
      <w:proofErr w:type="gramStart"/>
      <w:r>
        <w:t>le</w:t>
      </w:r>
      <w:proofErr w:type="gramEnd"/>
      <w:r>
        <w:t xml:space="preserve"> rôle du secteur privé.</w:t>
      </w:r>
    </w:p>
    <w:p w14:paraId="5D3E6485" w14:textId="77777777" w:rsidR="009B6C0D" w:rsidRPr="00D236CA" w:rsidRDefault="009B6C0D" w:rsidP="009B6C0D">
      <w:pPr>
        <w:pStyle w:val="ListParagraph"/>
        <w:spacing w:after="0"/>
        <w:jc w:val="both"/>
      </w:pPr>
    </w:p>
    <w:p w14:paraId="17F9E7EB" w14:textId="3DA31A5C" w:rsidR="000C4A65" w:rsidRPr="00750CA9" w:rsidRDefault="000C4A65" w:rsidP="009B6C0D">
      <w:pPr>
        <w:spacing w:after="0"/>
        <w:jc w:val="both"/>
        <w:rPr>
          <w:rFonts w:ascii="Arial" w:hAnsi="Arial"/>
          <w:sz w:val="22"/>
        </w:rPr>
      </w:pPr>
      <w:r w:rsidRPr="004F1255">
        <w:t xml:space="preserve">Se référer aux informations contenues dans les principaux documents de référence énumérés à la </w:t>
      </w:r>
      <w:r w:rsidRPr="004F1255">
        <w:rPr>
          <w:b/>
        </w:rPr>
        <w:t>section 1.1</w:t>
      </w:r>
      <w:r w:rsidRPr="004F1255">
        <w:t>.</w:t>
      </w:r>
    </w:p>
    <w:p w14:paraId="3536FF4F" w14:textId="664B96D2" w:rsidR="009B6C0D" w:rsidRPr="00E80CEF" w:rsidRDefault="009B6C0D" w:rsidP="009B6C0D">
      <w:pPr>
        <w:spacing w:after="0"/>
        <w:jc w:val="both"/>
      </w:pPr>
    </w:p>
    <w:tbl>
      <w:tblPr>
        <w:tblStyle w:val="TableGrid"/>
        <w:tblW w:w="5000" w:type="pct"/>
        <w:tblLook w:val="04A0" w:firstRow="1" w:lastRow="0" w:firstColumn="1" w:lastColumn="0" w:noHBand="0" w:noVBand="1"/>
      </w:tblPr>
      <w:tblGrid>
        <w:gridCol w:w="10456"/>
      </w:tblGrid>
      <w:tr w:rsidR="00581CCB" w:rsidRPr="00F00BB3" w14:paraId="6D1F33C2" w14:textId="77777777" w:rsidTr="00581CCB">
        <w:tc>
          <w:tcPr>
            <w:tcW w:w="5000" w:type="pct"/>
          </w:tcPr>
          <w:p w14:paraId="517B60D4" w14:textId="16E286A2" w:rsidR="001B7DE0" w:rsidRPr="000525BF" w:rsidRDefault="001B7DE0" w:rsidP="00A83AF8">
            <w:pPr>
              <w:pStyle w:val="Texteformulaire"/>
              <w:rPr>
                <w:b/>
                <w:bCs/>
                <w:lang w:val="fr-FR"/>
              </w:rPr>
            </w:pPr>
            <w:r w:rsidRPr="000525BF">
              <w:rPr>
                <w:b/>
                <w:bCs/>
                <w:lang w:val="fr-FR"/>
              </w:rPr>
              <w:t>Système de santé et réponse au VIH</w:t>
            </w:r>
          </w:p>
          <w:p w14:paraId="74196C6F" w14:textId="601CF1F6" w:rsidR="00A83AF8" w:rsidRPr="00A83AF8" w:rsidRDefault="00A83AF8" w:rsidP="00A83AF8">
            <w:pPr>
              <w:pStyle w:val="Texteformulaire"/>
              <w:rPr>
                <w:lang w:val="fr-FR"/>
              </w:rPr>
            </w:pPr>
            <w:r w:rsidRPr="00A83AF8">
              <w:rPr>
                <w:lang w:val="fr-FR"/>
              </w:rPr>
              <w:t>Le réseau de couverture sanitaire de type pyramidal du système de santé de Côte d’Ivoire repose sur le District Sanitaire (DS), unité opérationnelle du système de santé qui regroupe l’ensemble des structures sanitaires publiques et privées sur son aire de desserte, dont le nombre est passé de 86 à 113 en 2019. Trente-trois (33) Directions Régionales de Santé (DRSLS) sont chargées de la mise en œuvre de la politique sanitaire du gouvernement dans les régions. Et le niveau central est organisé autour du Cabinet du ministre, de la Direction Générale de la Santé</w:t>
            </w:r>
            <w:r w:rsidR="00B16C61">
              <w:rPr>
                <w:lang w:val="fr-FR"/>
              </w:rPr>
              <w:t xml:space="preserve"> (DGS)</w:t>
            </w:r>
            <w:r w:rsidRPr="00A83AF8">
              <w:rPr>
                <w:lang w:val="fr-FR"/>
              </w:rPr>
              <w:t xml:space="preserve"> et des services centraux.</w:t>
            </w:r>
            <w:r w:rsidR="00B16C61">
              <w:rPr>
                <w:lang w:val="fr-FR"/>
              </w:rPr>
              <w:t xml:space="preserve"> La réponse nationale au VIH s’intègre dans ce dispositif sous la tutelle de la DGS, avec comme organe principal le Programme National de Lutte contre le Sida (PNLS)</w:t>
            </w:r>
          </w:p>
          <w:p w14:paraId="7D8E054F" w14:textId="0287DE77" w:rsidR="00A83AF8" w:rsidRDefault="00A83AF8" w:rsidP="00A83AF8">
            <w:pPr>
              <w:pStyle w:val="Texteformulaire"/>
              <w:rPr>
                <w:lang w:val="fr-FR"/>
              </w:rPr>
            </w:pPr>
            <w:r w:rsidRPr="00A83AF8">
              <w:rPr>
                <w:lang w:val="fr-FR"/>
              </w:rPr>
              <w:t>A travers l</w:t>
            </w:r>
            <w:r w:rsidR="00B16C61">
              <w:rPr>
                <w:lang w:val="fr-FR"/>
              </w:rPr>
              <w:t>’I</w:t>
            </w:r>
            <w:r w:rsidRPr="00A83AF8">
              <w:rPr>
                <w:lang w:val="fr-FR"/>
              </w:rPr>
              <w:t xml:space="preserve">HP+ et le Compact international, la vision de la Côte d’Ivoire d’un système de santé performant </w:t>
            </w:r>
            <w:r w:rsidR="00B16C61">
              <w:rPr>
                <w:lang w:val="fr-FR"/>
              </w:rPr>
              <w:t xml:space="preserve">et équitable s’incarne notamment à travers les </w:t>
            </w:r>
            <w:r w:rsidR="008428EC">
              <w:rPr>
                <w:lang w:val="fr-FR"/>
              </w:rPr>
              <w:t>engagements</w:t>
            </w:r>
            <w:r w:rsidR="00B16C61">
              <w:rPr>
                <w:lang w:val="fr-FR"/>
              </w:rPr>
              <w:t xml:space="preserve"> suivants</w:t>
            </w:r>
            <w:r w:rsidRPr="00A83AF8">
              <w:rPr>
                <w:lang w:val="fr-FR"/>
              </w:rPr>
              <w:t xml:space="preserve"> : (i) la gratuité ciblée en faveur des enfants de moins de cinq ans et des femmes enceintes (ii) ; la réforme hospitalière ; (i</w:t>
            </w:r>
            <w:r w:rsidR="00B16C61">
              <w:rPr>
                <w:lang w:val="fr-FR"/>
              </w:rPr>
              <w:t>ii</w:t>
            </w:r>
            <w:r w:rsidRPr="00A83AF8">
              <w:rPr>
                <w:lang w:val="fr-FR"/>
              </w:rPr>
              <w:t>) le financement basé sur la performance ; (</w:t>
            </w:r>
            <w:r w:rsidR="00B16C61">
              <w:rPr>
                <w:lang w:val="fr-FR"/>
              </w:rPr>
              <w:t>i</w:t>
            </w:r>
            <w:r w:rsidRPr="00A83AF8">
              <w:rPr>
                <w:lang w:val="fr-FR"/>
              </w:rPr>
              <w:t>v) la décentralisation ; (v) l’organisation des interventions à base communautaire ; (vi) l’organisation des urgences ; (vii) l’organisation du système de référence et contre-référence ; (</w:t>
            </w:r>
            <w:r w:rsidR="00B16C61">
              <w:rPr>
                <w:lang w:val="fr-FR"/>
              </w:rPr>
              <w:t>viii</w:t>
            </w:r>
            <w:r w:rsidRPr="00A83AF8">
              <w:rPr>
                <w:lang w:val="fr-FR"/>
              </w:rPr>
              <w:t>) la mise en place d’une couverture sanitaire universelle (CSU), adoptée en 2014 en complément des régimes classiques de protection sociale</w:t>
            </w:r>
            <w:r w:rsidR="00B16C61">
              <w:rPr>
                <w:lang w:val="fr-FR"/>
              </w:rPr>
              <w:t xml:space="preserve"> </w:t>
            </w:r>
            <w:r w:rsidRPr="00A83AF8">
              <w:rPr>
                <w:lang w:val="fr-FR"/>
              </w:rPr>
              <w:t>; (</w:t>
            </w:r>
            <w:r w:rsidR="00B16C61">
              <w:rPr>
                <w:lang w:val="fr-FR"/>
              </w:rPr>
              <w:t>i</w:t>
            </w:r>
            <w:r w:rsidRPr="00A83AF8">
              <w:rPr>
                <w:lang w:val="fr-FR"/>
              </w:rPr>
              <w:t>x) l’élaboration « d’une feuille de route » pour les directeurs régionaux (DR) et directeurs départementaux (DD) afin d’orienter leur action et impulser la « performance » au niveau des administrations locales ; (x) l’intégration progressive dans la base de données nationale des données des programmes de santé, des EPN hospitaliers, des établissements de santé privés libéraux et associatifs, de l’armée et des données communautaires</w:t>
            </w:r>
            <w:r w:rsidR="00B16C61">
              <w:rPr>
                <w:lang w:val="fr-FR"/>
              </w:rPr>
              <w:t>.</w:t>
            </w:r>
            <w:r w:rsidRPr="00A83AF8">
              <w:rPr>
                <w:lang w:val="fr-FR"/>
              </w:rPr>
              <w:t xml:space="preserve"> </w:t>
            </w:r>
          </w:p>
          <w:p w14:paraId="558ADBA2" w14:textId="41DC1D4B" w:rsidR="00A83AF8" w:rsidRDefault="00A83AF8" w:rsidP="00A83AF8">
            <w:pPr>
              <w:pStyle w:val="Texteformulaire"/>
              <w:rPr>
                <w:lang w:val="fr-FR"/>
              </w:rPr>
            </w:pPr>
            <w:r w:rsidRPr="00A83AF8">
              <w:rPr>
                <w:lang w:val="fr-FR"/>
              </w:rPr>
              <w:t>La mise en œuvre des différentes dimensions de la réforme du système de santé permettra d’augmenter l’efficacité et l’impact du PSN VIH 2021-2025</w:t>
            </w:r>
            <w:r w:rsidR="005F315A">
              <w:rPr>
                <w:lang w:val="fr-FR"/>
              </w:rPr>
              <w:t xml:space="preserve"> (</w:t>
            </w:r>
            <w:r w:rsidR="003035BB" w:rsidRPr="00EA393B">
              <w:rPr>
                <w:i/>
                <w:iCs/>
                <w:lang w:val="fr-FR"/>
              </w:rPr>
              <w:t>Annexe 1</w:t>
            </w:r>
            <w:r w:rsidR="00EA393B" w:rsidRPr="00EA393B">
              <w:rPr>
                <w:lang w:val="fr-FR"/>
              </w:rPr>
              <w:t>)</w:t>
            </w:r>
            <w:r w:rsidRPr="00EA393B">
              <w:rPr>
                <w:i/>
                <w:iCs/>
                <w:lang w:val="fr-FR"/>
              </w:rPr>
              <w:t>,</w:t>
            </w:r>
            <w:r w:rsidRPr="00EA393B">
              <w:rPr>
                <w:lang w:val="fr-FR"/>
              </w:rPr>
              <w:t xml:space="preserve"> </w:t>
            </w:r>
            <w:r w:rsidRPr="00A83AF8">
              <w:rPr>
                <w:lang w:val="fr-FR"/>
              </w:rPr>
              <w:t>pour l’accès universel à la prévention et aux soins des populations vulnérables</w:t>
            </w:r>
            <w:r w:rsidR="00032E07">
              <w:rPr>
                <w:lang w:val="fr-FR"/>
              </w:rPr>
              <w:t>,</w:t>
            </w:r>
            <w:r w:rsidRPr="00A83AF8">
              <w:rPr>
                <w:lang w:val="fr-FR"/>
              </w:rPr>
              <w:t xml:space="preserve"> parmi lesquelles les couples mère-enfant.</w:t>
            </w:r>
          </w:p>
          <w:p w14:paraId="2F41C07C" w14:textId="77777777" w:rsidR="001B7DE0" w:rsidRPr="001B7DE0" w:rsidRDefault="001B7DE0" w:rsidP="000525BF"/>
          <w:p w14:paraId="3BBF8D3B" w14:textId="0978CF3A" w:rsidR="00032E07" w:rsidRPr="000525BF" w:rsidRDefault="001B7DE0" w:rsidP="00882FC6">
            <w:pPr>
              <w:pStyle w:val="Texteformulaire"/>
              <w:rPr>
                <w:b/>
                <w:bCs/>
                <w:lang w:val="fr-FR"/>
              </w:rPr>
            </w:pPr>
            <w:r w:rsidRPr="000525BF">
              <w:rPr>
                <w:b/>
                <w:bCs/>
                <w:lang w:val="fr-FR"/>
              </w:rPr>
              <w:t>Contexte épidémiologique et réponse à l’épidémie de VIH</w:t>
            </w:r>
          </w:p>
          <w:p w14:paraId="0AA07219" w14:textId="2AB6C937" w:rsidR="00882FC6" w:rsidRPr="00390EA4" w:rsidRDefault="00581CCB" w:rsidP="00882FC6">
            <w:pPr>
              <w:pStyle w:val="Texteformulaire"/>
              <w:rPr>
                <w:i/>
                <w:lang w:val="fr-FR"/>
              </w:rPr>
            </w:pPr>
            <w:r w:rsidRPr="00390EA4">
              <w:rPr>
                <w:lang w:val="fr-FR"/>
              </w:rPr>
              <w:t>La Côte d’Ivoire reste l’un des pays les plus touchés par le VIH/sida dans l’Afrique de l’Ouest et du Centre. Selon l’analyse Spectrum 2020</w:t>
            </w:r>
            <w:r w:rsidR="003035BB">
              <w:rPr>
                <w:lang w:val="fr-FR"/>
              </w:rPr>
              <w:t xml:space="preserve"> </w:t>
            </w:r>
            <w:r w:rsidR="00EA393B">
              <w:rPr>
                <w:lang w:val="fr-FR"/>
              </w:rPr>
              <w:t>(</w:t>
            </w:r>
            <w:r w:rsidR="003035BB" w:rsidRPr="00EA393B">
              <w:rPr>
                <w:i/>
                <w:iCs/>
                <w:lang w:val="fr-FR"/>
              </w:rPr>
              <w:t>Annexe 2</w:t>
            </w:r>
            <w:r w:rsidR="00EA393B" w:rsidRPr="00EA393B">
              <w:rPr>
                <w:lang w:val="fr-FR"/>
              </w:rPr>
              <w:t>)</w:t>
            </w:r>
            <w:r w:rsidRPr="00EA393B">
              <w:rPr>
                <w:iCs/>
                <w:lang w:val="fr-FR"/>
              </w:rPr>
              <w:t>,</w:t>
            </w:r>
            <w:r w:rsidRPr="00EA393B">
              <w:rPr>
                <w:i/>
                <w:lang w:val="fr-FR"/>
              </w:rPr>
              <w:t xml:space="preserve"> </w:t>
            </w:r>
            <w:r w:rsidRPr="00390EA4">
              <w:rPr>
                <w:lang w:val="fr-FR"/>
              </w:rPr>
              <w:t xml:space="preserve">la prévalence du VIH chez les 15-49 ans était estimée </w:t>
            </w:r>
            <w:r w:rsidRPr="00750CA9">
              <w:rPr>
                <w:lang w:val="fr-FR"/>
              </w:rPr>
              <w:t xml:space="preserve">à </w:t>
            </w:r>
            <w:r w:rsidRPr="00750CA9">
              <w:rPr>
                <w:b/>
                <w:lang w:val="fr-FR"/>
              </w:rPr>
              <w:t>2,39%</w:t>
            </w:r>
            <w:r w:rsidRPr="00750CA9">
              <w:rPr>
                <w:lang w:val="fr-FR"/>
              </w:rPr>
              <w:t xml:space="preserve"> (3,32% chez les femmes et 1,46% chez les hommes)</w:t>
            </w:r>
            <w:r w:rsidRPr="00390EA4">
              <w:rPr>
                <w:lang w:val="fr-FR"/>
              </w:rPr>
              <w:t xml:space="preserve"> </w:t>
            </w:r>
            <w:r w:rsidR="00EA393B">
              <w:rPr>
                <w:lang w:val="fr-FR"/>
              </w:rPr>
              <w:t>(</w:t>
            </w:r>
            <w:r w:rsidR="00EA393B" w:rsidRPr="00EA393B">
              <w:rPr>
                <w:i/>
                <w:lang w:val="fr-FR"/>
              </w:rPr>
              <w:t>Annexe 3</w:t>
            </w:r>
            <w:r w:rsidR="00EA393B">
              <w:rPr>
                <w:i/>
                <w:lang w:val="fr-FR"/>
              </w:rPr>
              <w:t>)</w:t>
            </w:r>
            <w:r w:rsidR="00EA393B" w:rsidRPr="00EA393B">
              <w:rPr>
                <w:i/>
                <w:lang w:val="fr-FR"/>
              </w:rPr>
              <w:t>.</w:t>
            </w:r>
            <w:r w:rsidR="00EA393B" w:rsidRPr="00EA393B">
              <w:rPr>
                <w:b/>
                <w:bCs/>
                <w:iCs/>
                <w:lang w:val="fr-FR"/>
              </w:rPr>
              <w:t xml:space="preserve"> </w:t>
            </w:r>
            <w:r w:rsidRPr="00390EA4">
              <w:rPr>
                <w:lang w:val="fr-FR"/>
              </w:rPr>
              <w:t xml:space="preserve">Dans l’étude CIPHIA 2018 </w:t>
            </w:r>
            <w:r w:rsidRPr="00390EA4">
              <w:rPr>
                <w:i/>
                <w:lang w:val="fr-FR"/>
              </w:rPr>
              <w:t>(</w:t>
            </w:r>
            <w:r w:rsidR="003035BB" w:rsidRPr="00EA393B">
              <w:rPr>
                <w:i/>
                <w:lang w:val="fr-FR"/>
              </w:rPr>
              <w:t>Annexe 4</w:t>
            </w:r>
            <w:r w:rsidR="00EA393B" w:rsidRPr="00EA393B">
              <w:rPr>
                <w:i/>
                <w:lang w:val="fr-FR"/>
              </w:rPr>
              <w:t>),</w:t>
            </w:r>
            <w:r w:rsidRPr="00EA393B">
              <w:rPr>
                <w:lang w:val="fr-FR"/>
              </w:rPr>
              <w:t xml:space="preserve"> </w:t>
            </w:r>
            <w:r w:rsidRPr="00390EA4">
              <w:rPr>
                <w:lang w:val="fr-FR"/>
              </w:rPr>
              <w:t>la prévalence observée était de 2,5% (3,6% chez les femmes et 1,4% chez les hommes).</w:t>
            </w:r>
            <w:r w:rsidRPr="00390EA4">
              <w:rPr>
                <w:i/>
                <w:lang w:val="fr-FR"/>
              </w:rPr>
              <w:t xml:space="preserve"> </w:t>
            </w:r>
          </w:p>
          <w:p w14:paraId="3691A26B" w14:textId="02CFDC81" w:rsidR="00581CCB" w:rsidRPr="00390EA4" w:rsidRDefault="00581CCB" w:rsidP="00882FC6">
            <w:pPr>
              <w:pStyle w:val="Texteformulaire"/>
              <w:rPr>
                <w:lang w:val="fr-FR"/>
              </w:rPr>
            </w:pPr>
            <w:r w:rsidRPr="00390EA4">
              <w:rPr>
                <w:lang w:val="fr-FR"/>
              </w:rPr>
              <w:t>L’épidémie de VIH est mixte</w:t>
            </w:r>
            <w:r w:rsidR="00882FC6" w:rsidRPr="00390EA4">
              <w:rPr>
                <w:lang w:val="fr-FR"/>
              </w:rPr>
              <w:t>,</w:t>
            </w:r>
            <w:r w:rsidRPr="00390EA4">
              <w:rPr>
                <w:lang w:val="fr-FR"/>
              </w:rPr>
              <w:t xml:space="preserve"> généralisée en population adulte (prévalence &gt; 1% dans 80/86 </w:t>
            </w:r>
            <w:r w:rsidR="004121FF" w:rsidRPr="00390EA4">
              <w:rPr>
                <w:lang w:val="fr-FR"/>
              </w:rPr>
              <w:t xml:space="preserve">districts sanitaires - </w:t>
            </w:r>
            <w:r w:rsidRPr="00390EA4">
              <w:rPr>
                <w:lang w:val="fr-FR"/>
              </w:rPr>
              <w:t>DS</w:t>
            </w:r>
            <w:r w:rsidR="004121FF" w:rsidRPr="00390EA4">
              <w:rPr>
                <w:lang w:val="fr-FR"/>
              </w:rPr>
              <w:t xml:space="preserve"> -</w:t>
            </w:r>
            <w:r w:rsidRPr="00390EA4">
              <w:rPr>
                <w:lang w:val="fr-FR"/>
              </w:rPr>
              <w:t xml:space="preserve"> de l’ancien découpage sanitaire) et concentrée (&gt; 5%) </w:t>
            </w:r>
            <w:r w:rsidR="00DD4677" w:rsidRPr="00750CA9">
              <w:rPr>
                <w:lang w:val="fr-FR"/>
              </w:rPr>
              <w:t xml:space="preserve">au sein des </w:t>
            </w:r>
            <w:r w:rsidRPr="00390EA4">
              <w:rPr>
                <w:lang w:val="fr-FR"/>
              </w:rPr>
              <w:t xml:space="preserve">populations </w:t>
            </w:r>
            <w:r w:rsidR="00DD4677" w:rsidRPr="00750CA9">
              <w:rPr>
                <w:lang w:val="fr-FR"/>
              </w:rPr>
              <w:t>clés (TS, HSH, transgenres, UD/UDI, détenus)</w:t>
            </w:r>
            <w:r w:rsidRPr="00390EA4">
              <w:rPr>
                <w:lang w:val="fr-FR"/>
              </w:rPr>
              <w:t>. Selon l’analyse Spectrum 2020</w:t>
            </w:r>
            <w:r w:rsidR="003035BB">
              <w:rPr>
                <w:lang w:val="fr-FR"/>
              </w:rPr>
              <w:t xml:space="preserve"> </w:t>
            </w:r>
            <w:r w:rsidR="00EA393B">
              <w:rPr>
                <w:lang w:val="fr-FR"/>
              </w:rPr>
              <w:t>(</w:t>
            </w:r>
            <w:r w:rsidR="003035BB" w:rsidRPr="00EA393B">
              <w:rPr>
                <w:i/>
                <w:iCs/>
                <w:lang w:val="fr-FR"/>
              </w:rPr>
              <w:t>Annexe 2</w:t>
            </w:r>
            <w:r w:rsidR="00EA393B" w:rsidRPr="00EA393B">
              <w:rPr>
                <w:i/>
                <w:iCs/>
                <w:lang w:val="fr-FR"/>
              </w:rPr>
              <w:t>)</w:t>
            </w:r>
            <w:r w:rsidRPr="00390EA4">
              <w:rPr>
                <w:lang w:val="fr-FR"/>
              </w:rPr>
              <w:t xml:space="preserve">, le nombre de PVVIH (tous âges confondus) était estimé à </w:t>
            </w:r>
            <w:r w:rsidRPr="00390EA4">
              <w:rPr>
                <w:b/>
                <w:lang w:val="fr-FR"/>
              </w:rPr>
              <w:t>428.827</w:t>
            </w:r>
            <w:r w:rsidRPr="00390EA4">
              <w:rPr>
                <w:lang w:val="fr-FR"/>
              </w:rPr>
              <w:t xml:space="preserve"> en fin 2019, dont </w:t>
            </w:r>
            <w:r w:rsidRPr="00390EA4">
              <w:rPr>
                <w:b/>
                <w:lang w:val="fr-FR"/>
              </w:rPr>
              <w:t>64,5 %</w:t>
            </w:r>
            <w:r w:rsidRPr="00390EA4">
              <w:rPr>
                <w:lang w:val="fr-FR"/>
              </w:rPr>
              <w:t xml:space="preserve"> de </w:t>
            </w:r>
            <w:r w:rsidRPr="00750CA9">
              <w:rPr>
                <w:lang w:val="fr-FR"/>
              </w:rPr>
              <w:t>femmes</w:t>
            </w:r>
            <w:r w:rsidR="004121FF" w:rsidRPr="00750CA9">
              <w:rPr>
                <w:lang w:val="fr-FR"/>
              </w:rPr>
              <w:t xml:space="preserve"> et</w:t>
            </w:r>
            <w:r w:rsidRPr="00750CA9">
              <w:rPr>
                <w:lang w:val="fr-FR"/>
              </w:rPr>
              <w:t xml:space="preserve"> </w:t>
            </w:r>
            <w:r w:rsidR="004121FF" w:rsidRPr="00750CA9">
              <w:rPr>
                <w:b/>
                <w:lang w:val="fr-FR"/>
              </w:rPr>
              <w:t>7,4%</w:t>
            </w:r>
            <w:r w:rsidR="004121FF" w:rsidRPr="00750CA9">
              <w:rPr>
                <w:lang w:val="fr-FR"/>
              </w:rPr>
              <w:t xml:space="preserve"> </w:t>
            </w:r>
            <w:r w:rsidRPr="00750CA9">
              <w:rPr>
                <w:lang w:val="fr-FR"/>
              </w:rPr>
              <w:t>d</w:t>
            </w:r>
            <w:r w:rsidR="004121FF" w:rsidRPr="00750CA9">
              <w:rPr>
                <w:lang w:val="fr-FR"/>
              </w:rPr>
              <w:t xml:space="preserve">e moins de </w:t>
            </w:r>
            <w:r w:rsidRPr="00750CA9">
              <w:rPr>
                <w:lang w:val="fr-FR"/>
              </w:rPr>
              <w:t>1</w:t>
            </w:r>
            <w:r w:rsidR="004121FF" w:rsidRPr="00750CA9">
              <w:rPr>
                <w:lang w:val="fr-FR"/>
              </w:rPr>
              <w:t>5</w:t>
            </w:r>
            <w:r w:rsidRPr="00750CA9">
              <w:rPr>
                <w:lang w:val="fr-FR"/>
              </w:rPr>
              <w:t xml:space="preserve"> ans </w:t>
            </w:r>
            <w:r w:rsidR="004121FF" w:rsidRPr="00750CA9">
              <w:rPr>
                <w:lang w:val="fr-FR"/>
              </w:rPr>
              <w:t>(n=31 662)</w:t>
            </w:r>
            <w:r w:rsidRPr="00750CA9">
              <w:rPr>
                <w:lang w:val="fr-FR"/>
              </w:rPr>
              <w:t xml:space="preserve">. La prédominance féminine est observée dans les 86 </w:t>
            </w:r>
            <w:r w:rsidR="004121FF" w:rsidRPr="00750CA9">
              <w:rPr>
                <w:lang w:val="fr-FR"/>
              </w:rPr>
              <w:t>DS</w:t>
            </w:r>
            <w:r w:rsidRPr="00750CA9">
              <w:rPr>
                <w:lang w:val="fr-FR"/>
              </w:rPr>
              <w:t xml:space="preserve"> dès l</w:t>
            </w:r>
            <w:r w:rsidRPr="00390EA4">
              <w:rPr>
                <w:lang w:val="fr-FR"/>
              </w:rPr>
              <w:t>’adolescence (15-19 ans), puis s’accentue chez les 20-24 ans.</w:t>
            </w:r>
          </w:p>
          <w:p w14:paraId="75C04AD8" w14:textId="326DD710" w:rsidR="00581CCB" w:rsidRPr="00390EA4" w:rsidRDefault="00581CCB" w:rsidP="00882FC6">
            <w:pPr>
              <w:pStyle w:val="Texteformulaire"/>
              <w:rPr>
                <w:sz w:val="20"/>
              </w:rPr>
            </w:pPr>
            <w:r w:rsidRPr="00390EA4">
              <w:rPr>
                <w:noProof/>
                <w:lang w:val="fr-FR" w:eastAsia="fr-FR"/>
              </w:rPr>
              <w:lastRenderedPageBreak/>
              <w:drawing>
                <wp:inline distT="0" distB="0" distL="0" distR="0" wp14:anchorId="74530C45" wp14:editId="40822EEC">
                  <wp:extent cx="2976114" cy="2215838"/>
                  <wp:effectExtent l="0" t="0" r="15240" b="13335"/>
                  <wp:docPr id="1" name="Graphique 1">
                    <a:extLst xmlns:a="http://schemas.openxmlformats.org/drawingml/2006/main">
                      <a:ext uri="{FF2B5EF4-FFF2-40B4-BE49-F238E27FC236}">
                        <a16:creationId xmlns:a16="http://schemas.microsoft.com/office/drawing/2014/main" id="{D6FEA379-931C-4137-A99D-B8241B3C4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121FF" w:rsidRPr="00390EA4">
              <w:rPr>
                <w:sz w:val="20"/>
              </w:rPr>
              <w:t xml:space="preserve">  </w:t>
            </w:r>
            <w:r w:rsidR="00682DA4">
              <w:rPr>
                <w:noProof/>
                <w:sz w:val="20"/>
                <w:lang w:val="fr-FR" w:eastAsia="fr-FR"/>
              </w:rPr>
              <w:drawing>
                <wp:inline distT="0" distB="0" distL="0" distR="0" wp14:anchorId="0E454E92" wp14:editId="50CED859">
                  <wp:extent cx="3406140" cy="2226756"/>
                  <wp:effectExtent l="0" t="0" r="381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l="6820" r="8079"/>
                          <a:stretch/>
                        </pic:blipFill>
                        <pic:spPr bwMode="auto">
                          <a:xfrm>
                            <a:off x="0" y="0"/>
                            <a:ext cx="3467627" cy="2266953"/>
                          </a:xfrm>
                          <a:prstGeom prst="rect">
                            <a:avLst/>
                          </a:prstGeom>
                          <a:noFill/>
                          <a:ln>
                            <a:noFill/>
                          </a:ln>
                          <a:extLst>
                            <a:ext uri="{53640926-AAD7-44D8-BBD7-CCE9431645EC}">
                              <a14:shadowObscured xmlns:a14="http://schemas.microsoft.com/office/drawing/2010/main"/>
                            </a:ext>
                          </a:extLst>
                        </pic:spPr>
                      </pic:pic>
                    </a:graphicData>
                  </a:graphic>
                </wp:inline>
              </w:drawing>
            </w:r>
            <w:r w:rsidR="004121FF" w:rsidRPr="00390EA4">
              <w:rPr>
                <w:sz w:val="20"/>
              </w:rPr>
              <w:t xml:space="preserve">  </w:t>
            </w:r>
          </w:p>
          <w:p w14:paraId="6D042ACA" w14:textId="7CFB8CC8" w:rsidR="00581CCB" w:rsidRPr="00390EA4" w:rsidRDefault="00581CCB" w:rsidP="00882FC6">
            <w:pPr>
              <w:pStyle w:val="Texteformulaire"/>
              <w:rPr>
                <w:i/>
                <w:sz w:val="16"/>
                <w:lang w:val="fr-FR"/>
              </w:rPr>
            </w:pPr>
            <w:r w:rsidRPr="00390EA4">
              <w:rPr>
                <w:b/>
                <w:i/>
                <w:sz w:val="16"/>
                <w:lang w:val="fr-FR"/>
              </w:rPr>
              <w:t xml:space="preserve">Graphique </w:t>
            </w:r>
            <w:proofErr w:type="gramStart"/>
            <w:r w:rsidRPr="00390EA4">
              <w:rPr>
                <w:b/>
                <w:i/>
                <w:sz w:val="16"/>
                <w:lang w:val="fr-FR"/>
              </w:rPr>
              <w:t>1</w:t>
            </w:r>
            <w:r w:rsidRPr="00390EA4">
              <w:rPr>
                <w:i/>
                <w:sz w:val="16"/>
                <w:lang w:val="fr-FR"/>
              </w:rPr>
              <w:t>:</w:t>
            </w:r>
            <w:proofErr w:type="gramEnd"/>
            <w:r w:rsidRPr="00390EA4">
              <w:rPr>
                <w:i/>
                <w:sz w:val="16"/>
                <w:lang w:val="fr-FR"/>
              </w:rPr>
              <w:t xml:space="preserve"> Répartition des PVVIH par tranche d’âge et par sexe</w:t>
            </w:r>
            <w:r w:rsidR="004121FF" w:rsidRPr="00390EA4">
              <w:rPr>
                <w:i/>
                <w:sz w:val="16"/>
                <w:lang w:val="fr-FR"/>
              </w:rPr>
              <w:t xml:space="preserve">            </w:t>
            </w:r>
            <w:r w:rsidR="004121FF" w:rsidRPr="00390EA4">
              <w:rPr>
                <w:b/>
                <w:i/>
                <w:sz w:val="16"/>
                <w:lang w:val="fr-FR"/>
              </w:rPr>
              <w:t>Graphique 2</w:t>
            </w:r>
            <w:r w:rsidR="004121FF" w:rsidRPr="00390EA4">
              <w:rPr>
                <w:i/>
                <w:sz w:val="16"/>
                <w:lang w:val="fr-FR"/>
              </w:rPr>
              <w:t>: Répartitions des nouvelles infections</w:t>
            </w:r>
          </w:p>
          <w:p w14:paraId="53EA7DFE" w14:textId="77777777" w:rsidR="00581CCB" w:rsidRPr="00390EA4" w:rsidRDefault="00581CCB" w:rsidP="00882FC6">
            <w:pPr>
              <w:pStyle w:val="Texteformulaire"/>
              <w:rPr>
                <w:i/>
                <w:sz w:val="20"/>
                <w:lang w:val="fr-FR"/>
              </w:rPr>
            </w:pPr>
          </w:p>
          <w:p w14:paraId="07B56983" w14:textId="3516F908" w:rsidR="00581CCB" w:rsidRPr="00390EA4" w:rsidRDefault="00581CCB" w:rsidP="00882FC6">
            <w:pPr>
              <w:pStyle w:val="Texteformulaire"/>
              <w:rPr>
                <w:lang w:val="fr-FR"/>
              </w:rPr>
            </w:pPr>
            <w:r w:rsidRPr="00390EA4">
              <w:rPr>
                <w:lang w:val="fr-FR"/>
              </w:rPr>
              <w:t xml:space="preserve">De grandes disparités s’observent dans la </w:t>
            </w:r>
            <w:r w:rsidRPr="00390EA4">
              <w:rPr>
                <w:b/>
                <w:lang w:val="fr-FR"/>
              </w:rPr>
              <w:t>distribution géographique de l’épidémie à VIH</w:t>
            </w:r>
            <w:r w:rsidRPr="00390EA4">
              <w:rPr>
                <w:lang w:val="fr-FR"/>
              </w:rPr>
              <w:t xml:space="preserve">. Deux régions sanitaires </w:t>
            </w:r>
            <w:r w:rsidR="00750CA9">
              <w:rPr>
                <w:lang w:val="fr-FR"/>
              </w:rPr>
              <w:t>(</w:t>
            </w:r>
            <w:r w:rsidRPr="00390EA4">
              <w:rPr>
                <w:lang w:val="fr-FR"/>
              </w:rPr>
              <w:t>‘’Abidjan 2’’ et ‘’Abidjan 1 grands ponts’’</w:t>
            </w:r>
            <w:r w:rsidR="00750CA9">
              <w:rPr>
                <w:lang w:val="fr-FR"/>
              </w:rPr>
              <w:t>, soit 12 DS)</w:t>
            </w:r>
            <w:r w:rsidRPr="00390EA4">
              <w:rPr>
                <w:lang w:val="fr-FR"/>
              </w:rPr>
              <w:t xml:space="preserve"> totalisent 157.771 PVVIH, soit environ </w:t>
            </w:r>
            <w:r w:rsidRPr="00390EA4">
              <w:rPr>
                <w:b/>
                <w:lang w:val="fr-FR"/>
              </w:rPr>
              <w:t>37%</w:t>
            </w:r>
            <w:r w:rsidRPr="00390EA4">
              <w:rPr>
                <w:lang w:val="fr-FR"/>
              </w:rPr>
              <w:t xml:space="preserve"> de l’ensemble des PVVIH. Un total de 23 </w:t>
            </w:r>
            <w:r w:rsidR="004121FF" w:rsidRPr="00390EA4">
              <w:rPr>
                <w:lang w:val="fr-FR"/>
              </w:rPr>
              <w:t>DS</w:t>
            </w:r>
            <w:r w:rsidRPr="00390EA4">
              <w:rPr>
                <w:lang w:val="fr-FR"/>
              </w:rPr>
              <w:t>, dont 14 à l’intérieur</w:t>
            </w:r>
            <w:r w:rsidR="004121FF" w:rsidRPr="00390EA4">
              <w:rPr>
                <w:lang w:val="fr-FR"/>
              </w:rPr>
              <w:t xml:space="preserve"> </w:t>
            </w:r>
            <w:r w:rsidRPr="00390EA4">
              <w:rPr>
                <w:lang w:val="fr-FR"/>
              </w:rPr>
              <w:t>du pays et 9</w:t>
            </w:r>
            <w:r w:rsidR="005D402E" w:rsidRPr="00750CA9">
              <w:rPr>
                <w:lang w:val="fr-FR"/>
              </w:rPr>
              <w:t xml:space="preserve"> des </w:t>
            </w:r>
            <w:r w:rsidRPr="00390EA4">
              <w:rPr>
                <w:lang w:val="fr-FR"/>
              </w:rPr>
              <w:t xml:space="preserve">12 </w:t>
            </w:r>
            <w:r w:rsidR="00F457A9" w:rsidRPr="00750CA9">
              <w:rPr>
                <w:lang w:val="fr-FR"/>
              </w:rPr>
              <w:t>districts</w:t>
            </w:r>
            <w:r w:rsidRPr="00390EA4">
              <w:rPr>
                <w:lang w:val="fr-FR"/>
              </w:rPr>
              <w:t xml:space="preserve"> d’Abidjan, ont une prévalence supérieure à la moyenne nationale de</w:t>
            </w:r>
            <w:r w:rsidR="004121FF" w:rsidRPr="00390EA4">
              <w:rPr>
                <w:lang w:val="fr-FR"/>
              </w:rPr>
              <w:t xml:space="preserve"> </w:t>
            </w:r>
            <w:r w:rsidRPr="00390EA4">
              <w:rPr>
                <w:b/>
                <w:lang w:val="fr-FR"/>
              </w:rPr>
              <w:t>2,39%</w:t>
            </w:r>
            <w:r w:rsidRPr="00390EA4">
              <w:rPr>
                <w:lang w:val="fr-FR"/>
              </w:rPr>
              <w:t>.</w:t>
            </w:r>
          </w:p>
          <w:p w14:paraId="73AB1CE8" w14:textId="7BEC310C" w:rsidR="00581CCB" w:rsidRDefault="00581CCB" w:rsidP="00882FC6">
            <w:pPr>
              <w:pStyle w:val="Texteformulaire"/>
              <w:rPr>
                <w:lang w:val="fr-FR"/>
              </w:rPr>
            </w:pPr>
            <w:r w:rsidRPr="00390EA4">
              <w:rPr>
                <w:lang w:val="fr-FR"/>
              </w:rPr>
              <w:t>Selon Spectrum</w:t>
            </w:r>
            <w:r w:rsidR="00882FC6" w:rsidRPr="00390EA4">
              <w:rPr>
                <w:lang w:val="fr-FR"/>
              </w:rPr>
              <w:t xml:space="preserve"> 2020</w:t>
            </w:r>
            <w:r w:rsidRPr="00390EA4">
              <w:rPr>
                <w:lang w:val="fr-FR"/>
              </w:rPr>
              <w:t xml:space="preserve">, les </w:t>
            </w:r>
            <w:r w:rsidRPr="00390EA4">
              <w:rPr>
                <w:b/>
                <w:lang w:val="fr-FR"/>
              </w:rPr>
              <w:t xml:space="preserve">nouvelles </w:t>
            </w:r>
            <w:r w:rsidR="00882FC6" w:rsidRPr="00390EA4">
              <w:rPr>
                <w:b/>
                <w:lang w:val="fr-FR"/>
              </w:rPr>
              <w:t>i</w:t>
            </w:r>
            <w:r w:rsidRPr="00390EA4">
              <w:rPr>
                <w:b/>
                <w:lang w:val="fr-FR"/>
              </w:rPr>
              <w:t xml:space="preserve">nfections </w:t>
            </w:r>
            <w:r w:rsidR="00882FC6" w:rsidRPr="00390EA4">
              <w:rPr>
                <w:b/>
                <w:lang w:val="fr-FR"/>
              </w:rPr>
              <w:t>à</w:t>
            </w:r>
            <w:r w:rsidRPr="00390EA4">
              <w:rPr>
                <w:b/>
                <w:lang w:val="fr-FR"/>
              </w:rPr>
              <w:t xml:space="preserve"> VIH</w:t>
            </w:r>
            <w:r w:rsidRPr="00390EA4">
              <w:rPr>
                <w:lang w:val="fr-FR"/>
              </w:rPr>
              <w:t xml:space="preserve"> (tous âges confondus) étaient estimées à </w:t>
            </w:r>
            <w:r w:rsidRPr="00390EA4">
              <w:rPr>
                <w:b/>
                <w:lang w:val="fr-FR"/>
              </w:rPr>
              <w:t xml:space="preserve">12.187 </w:t>
            </w:r>
            <w:r w:rsidRPr="00390EA4">
              <w:rPr>
                <w:lang w:val="fr-FR"/>
              </w:rPr>
              <w:t xml:space="preserve">en 2019, dont </w:t>
            </w:r>
            <w:r w:rsidR="00882FC6" w:rsidRPr="00390EA4">
              <w:rPr>
                <w:lang w:val="fr-FR"/>
              </w:rPr>
              <w:t xml:space="preserve">59,1% de </w:t>
            </w:r>
            <w:r w:rsidRPr="00390EA4">
              <w:rPr>
                <w:lang w:val="fr-FR"/>
              </w:rPr>
              <w:t>femmes (</w:t>
            </w:r>
            <w:r w:rsidR="00882FC6" w:rsidRPr="00390EA4">
              <w:rPr>
                <w:b/>
                <w:lang w:val="fr-FR"/>
              </w:rPr>
              <w:t>7.211</w:t>
            </w:r>
            <w:r w:rsidR="00882FC6" w:rsidRPr="00390EA4">
              <w:rPr>
                <w:lang w:val="fr-FR"/>
              </w:rPr>
              <w:t>)</w:t>
            </w:r>
            <w:r w:rsidRPr="00390EA4">
              <w:rPr>
                <w:lang w:val="fr-FR"/>
              </w:rPr>
              <w:t xml:space="preserve"> </w:t>
            </w:r>
            <w:r w:rsidR="00882FC6" w:rsidRPr="00390EA4">
              <w:rPr>
                <w:lang w:val="fr-FR"/>
              </w:rPr>
              <w:t>et</w:t>
            </w:r>
            <w:r w:rsidRPr="00390EA4">
              <w:rPr>
                <w:lang w:val="fr-FR"/>
              </w:rPr>
              <w:t> 62% surven</w:t>
            </w:r>
            <w:r w:rsidR="00882FC6" w:rsidRPr="00390EA4">
              <w:rPr>
                <w:lang w:val="fr-FR"/>
              </w:rPr>
              <w:t>a</w:t>
            </w:r>
            <w:r w:rsidRPr="00390EA4">
              <w:rPr>
                <w:lang w:val="fr-FR"/>
              </w:rPr>
              <w:t xml:space="preserve">nt chez les </w:t>
            </w:r>
            <w:r w:rsidR="00882FC6" w:rsidRPr="00390EA4">
              <w:rPr>
                <w:lang w:val="fr-FR"/>
              </w:rPr>
              <w:t xml:space="preserve">≥ </w:t>
            </w:r>
            <w:r w:rsidRPr="00390EA4">
              <w:rPr>
                <w:lang w:val="fr-FR"/>
              </w:rPr>
              <w:t>25 an</w:t>
            </w:r>
            <w:r w:rsidR="00882FC6" w:rsidRPr="00390EA4">
              <w:rPr>
                <w:lang w:val="fr-FR"/>
              </w:rPr>
              <w:t>s</w:t>
            </w:r>
            <w:r w:rsidRPr="00390EA4">
              <w:rPr>
                <w:lang w:val="fr-FR"/>
              </w:rPr>
              <w:t xml:space="preserve">, 15% chez les 20-24 ans, 8% chez </w:t>
            </w:r>
            <w:proofErr w:type="gramStart"/>
            <w:r w:rsidRPr="00390EA4">
              <w:rPr>
                <w:lang w:val="fr-FR"/>
              </w:rPr>
              <w:t>les adolescent</w:t>
            </w:r>
            <w:proofErr w:type="gramEnd"/>
            <w:r w:rsidRPr="00390EA4">
              <w:rPr>
                <w:lang w:val="fr-FR"/>
              </w:rPr>
              <w:t>(e)s de 15-19 ans et 15% chez les 0-14 ans</w:t>
            </w:r>
            <w:r w:rsidR="00750CA9">
              <w:rPr>
                <w:lang w:val="fr-FR"/>
              </w:rPr>
              <w:t xml:space="preserve"> (cf. graphique 2 ci-dessus)</w:t>
            </w:r>
            <w:r w:rsidRPr="00390EA4">
              <w:rPr>
                <w:lang w:val="fr-FR"/>
              </w:rPr>
              <w:t>.</w:t>
            </w:r>
            <w:r w:rsidR="00882FC6" w:rsidRPr="00390EA4">
              <w:rPr>
                <w:lang w:val="fr-FR"/>
              </w:rPr>
              <w:t xml:space="preserve"> </w:t>
            </w:r>
            <w:r w:rsidRPr="00390EA4">
              <w:rPr>
                <w:lang w:val="fr-FR"/>
              </w:rPr>
              <w:t xml:space="preserve">Le </w:t>
            </w:r>
            <w:r w:rsidRPr="00390EA4">
              <w:rPr>
                <w:b/>
                <w:lang w:val="fr-FR"/>
              </w:rPr>
              <w:t>taux d’incidence du VIH</w:t>
            </w:r>
            <w:r w:rsidRPr="00390EA4">
              <w:rPr>
                <w:lang w:val="fr-FR"/>
              </w:rPr>
              <w:t xml:space="preserve"> tous âges confondus était estimé à </w:t>
            </w:r>
            <w:r w:rsidRPr="00390EA4">
              <w:rPr>
                <w:b/>
                <w:lang w:val="fr-FR"/>
              </w:rPr>
              <w:t>0,51%</w:t>
            </w:r>
            <w:r w:rsidRPr="00390EA4">
              <w:rPr>
                <w:lang w:val="fr-FR"/>
              </w:rPr>
              <w:t xml:space="preserve"> (0,61% chez les femmes et 0,41% chez les hommes). Cette incidence moyenne masque d’importantes disparités selon l’âge et le sexe. Parmi les jeunes femmes de 20-24 ans, le taux d’incidence moyen du VIH est le plus élevé (</w:t>
            </w:r>
            <w:r w:rsidRPr="00390EA4">
              <w:rPr>
                <w:b/>
                <w:lang w:val="fr-FR"/>
              </w:rPr>
              <w:t>1,24%</w:t>
            </w:r>
            <w:r w:rsidRPr="00390EA4">
              <w:rPr>
                <w:lang w:val="fr-FR"/>
              </w:rPr>
              <w:t>), avec un total de 23 DS où cette incidence est supérieure au taux moyen (Spectrum 20</w:t>
            </w:r>
            <w:r w:rsidR="00882FC6" w:rsidRPr="00390EA4">
              <w:rPr>
                <w:lang w:val="fr-FR"/>
              </w:rPr>
              <w:t>20</w:t>
            </w:r>
            <w:r w:rsidRPr="00390EA4">
              <w:rPr>
                <w:lang w:val="fr-FR"/>
              </w:rPr>
              <w:t xml:space="preserve">). Dans les populations clés, l’étude </w:t>
            </w:r>
            <w:proofErr w:type="spellStart"/>
            <w:r w:rsidRPr="00390EA4">
              <w:rPr>
                <w:lang w:val="fr-FR"/>
              </w:rPr>
              <w:t>PrEP</w:t>
            </w:r>
            <w:proofErr w:type="spellEnd"/>
            <w:r w:rsidRPr="00390EA4">
              <w:rPr>
                <w:lang w:val="fr-FR"/>
              </w:rPr>
              <w:t xml:space="preserve">-CI/PACCI </w:t>
            </w:r>
            <w:r w:rsidR="005F315A">
              <w:rPr>
                <w:lang w:val="fr-FR"/>
              </w:rPr>
              <w:t xml:space="preserve">de </w:t>
            </w:r>
            <w:r w:rsidRPr="00390EA4">
              <w:rPr>
                <w:lang w:val="fr-FR"/>
              </w:rPr>
              <w:t>2016</w:t>
            </w:r>
            <w:r w:rsidR="003035BB">
              <w:rPr>
                <w:lang w:val="fr-FR"/>
              </w:rPr>
              <w:t xml:space="preserve"> </w:t>
            </w:r>
            <w:r w:rsidR="00EA393B">
              <w:rPr>
                <w:lang w:val="fr-FR"/>
              </w:rPr>
              <w:t>(</w:t>
            </w:r>
            <w:r w:rsidR="003035BB" w:rsidRPr="00EA393B">
              <w:rPr>
                <w:i/>
                <w:iCs/>
                <w:lang w:val="fr-FR"/>
              </w:rPr>
              <w:t>Annexe 5</w:t>
            </w:r>
            <w:r w:rsidR="00EA393B" w:rsidRPr="00EA393B">
              <w:rPr>
                <w:i/>
                <w:iCs/>
                <w:lang w:val="fr-FR"/>
              </w:rPr>
              <w:t>)</w:t>
            </w:r>
            <w:r w:rsidR="005F315A" w:rsidRPr="00EA393B">
              <w:rPr>
                <w:lang w:val="fr-FR"/>
              </w:rPr>
              <w:t xml:space="preserve"> </w:t>
            </w:r>
            <w:r w:rsidRPr="00390EA4">
              <w:rPr>
                <w:lang w:val="fr-FR"/>
              </w:rPr>
              <w:t xml:space="preserve">a montré une incidence chez les TS de 1,8% à Abidjan et 3,2% à </w:t>
            </w:r>
            <w:proofErr w:type="spellStart"/>
            <w:r w:rsidRPr="00390EA4">
              <w:rPr>
                <w:lang w:val="fr-FR"/>
              </w:rPr>
              <w:t>San-Pédro</w:t>
            </w:r>
            <w:proofErr w:type="spellEnd"/>
            <w:r w:rsidRPr="00390EA4">
              <w:rPr>
                <w:lang w:val="fr-FR"/>
              </w:rPr>
              <w:t>, et l’étude « </w:t>
            </w:r>
            <w:proofErr w:type="spellStart"/>
            <w:r w:rsidRPr="00390EA4">
              <w:rPr>
                <w:lang w:val="fr-FR"/>
              </w:rPr>
              <w:t>CohMSM</w:t>
            </w:r>
            <w:proofErr w:type="spellEnd"/>
            <w:r w:rsidRPr="00390EA4">
              <w:rPr>
                <w:lang w:val="fr-FR"/>
              </w:rPr>
              <w:t xml:space="preserve"> Espace confiance 2016 »</w:t>
            </w:r>
            <w:r w:rsidR="003035BB">
              <w:rPr>
                <w:lang w:val="fr-FR"/>
              </w:rPr>
              <w:t xml:space="preserve"> </w:t>
            </w:r>
            <w:r w:rsidR="00EA393B" w:rsidRPr="00EA393B">
              <w:rPr>
                <w:i/>
                <w:iCs/>
                <w:lang w:val="fr-FR"/>
              </w:rPr>
              <w:t>(</w:t>
            </w:r>
            <w:r w:rsidR="003035BB" w:rsidRPr="00EA393B">
              <w:rPr>
                <w:i/>
                <w:iCs/>
                <w:lang w:val="fr-FR"/>
              </w:rPr>
              <w:t>Annexe 6</w:t>
            </w:r>
            <w:r w:rsidR="00EA393B" w:rsidRPr="00EA393B">
              <w:rPr>
                <w:i/>
                <w:iCs/>
                <w:lang w:val="fr-FR"/>
              </w:rPr>
              <w:t>)</w:t>
            </w:r>
            <w:r w:rsidR="00F30655" w:rsidRPr="00EA393B">
              <w:rPr>
                <w:i/>
                <w:iCs/>
                <w:lang w:val="fr-FR"/>
              </w:rPr>
              <w:t>,</w:t>
            </w:r>
            <w:r w:rsidR="00F30655" w:rsidRPr="00EA393B">
              <w:rPr>
                <w:b/>
                <w:bCs/>
                <w:lang w:val="fr-FR"/>
              </w:rPr>
              <w:t xml:space="preserve"> </w:t>
            </w:r>
            <w:r w:rsidRPr="00390EA4">
              <w:rPr>
                <w:lang w:val="fr-FR"/>
              </w:rPr>
              <w:t>une incidence de 6% chez les HSH à Abidjan.</w:t>
            </w:r>
          </w:p>
          <w:p w14:paraId="0FD182AF" w14:textId="5B61B28A" w:rsidR="00231C5B" w:rsidRDefault="00002153" w:rsidP="000525BF">
            <w:pPr>
              <w:pStyle w:val="Texteformulaire"/>
            </w:pPr>
            <w:proofErr w:type="spellStart"/>
            <w:r>
              <w:t>Selon</w:t>
            </w:r>
            <w:proofErr w:type="spellEnd"/>
            <w:r>
              <w:t xml:space="preserve"> Spectrum 2020</w:t>
            </w:r>
            <w:r w:rsidR="00F30655">
              <w:t xml:space="preserve"> </w:t>
            </w:r>
            <w:r w:rsidR="00EA393B" w:rsidRPr="00EA393B">
              <w:rPr>
                <w:i/>
                <w:iCs/>
              </w:rPr>
              <w:t>(</w:t>
            </w:r>
            <w:proofErr w:type="spellStart"/>
            <w:r w:rsidR="00F30655" w:rsidRPr="00EA393B">
              <w:rPr>
                <w:i/>
                <w:iCs/>
              </w:rPr>
              <w:t>Annexe</w:t>
            </w:r>
            <w:proofErr w:type="spellEnd"/>
            <w:r w:rsidR="00F30655" w:rsidRPr="00EA393B">
              <w:rPr>
                <w:i/>
                <w:iCs/>
              </w:rPr>
              <w:t xml:space="preserve"> 2</w:t>
            </w:r>
            <w:r w:rsidR="00EA393B" w:rsidRPr="00EA393B">
              <w:rPr>
                <w:i/>
                <w:iCs/>
              </w:rPr>
              <w:t>)</w:t>
            </w:r>
            <w:r w:rsidRPr="00EA393B">
              <w:rPr>
                <w:i/>
                <w:iCs/>
              </w:rPr>
              <w:t>,</w:t>
            </w:r>
            <w:r w:rsidRPr="00EA393B">
              <w:t xml:space="preserve"> </w:t>
            </w:r>
            <w:proofErr w:type="spellStart"/>
            <w:r>
              <w:t>en</w:t>
            </w:r>
            <w:proofErr w:type="spellEnd"/>
            <w:r>
              <w:t xml:space="preserve"> fin 2019 : (</w:t>
            </w:r>
            <w:proofErr w:type="spellStart"/>
            <w:r>
              <w:t>i</w:t>
            </w:r>
            <w:proofErr w:type="spellEnd"/>
            <w:r>
              <w:t>) l</w:t>
            </w:r>
            <w:r w:rsidR="00231C5B">
              <w:t xml:space="preserve">a </w:t>
            </w:r>
            <w:proofErr w:type="spellStart"/>
            <w:r w:rsidR="00231C5B">
              <w:t>réd</w:t>
            </w:r>
            <w:proofErr w:type="spellEnd"/>
            <w:r w:rsidR="003035BB">
              <w:t xml:space="preserve">, </w:t>
            </w:r>
            <w:proofErr w:type="spellStart"/>
            <w:r w:rsidR="00231C5B">
              <w:t>ction</w:t>
            </w:r>
            <w:proofErr w:type="spellEnd"/>
            <w:r w:rsidR="00231C5B">
              <w:t xml:space="preserve"> des </w:t>
            </w:r>
            <w:proofErr w:type="spellStart"/>
            <w:r w:rsidR="00231C5B">
              <w:t>nouvelles</w:t>
            </w:r>
            <w:proofErr w:type="spellEnd"/>
            <w:r w:rsidR="00231C5B">
              <w:t xml:space="preserve"> infections </w:t>
            </w:r>
            <w:proofErr w:type="spellStart"/>
            <w:r>
              <w:t>es</w:t>
            </w:r>
            <w:r w:rsidR="00231C5B">
              <w:t>t</w:t>
            </w:r>
            <w:proofErr w:type="spellEnd"/>
            <w:r w:rsidR="00231C5B">
              <w:t xml:space="preserve"> </w:t>
            </w:r>
            <w:proofErr w:type="spellStart"/>
            <w:r w:rsidR="00231C5B">
              <w:t>estimée</w:t>
            </w:r>
            <w:proofErr w:type="spellEnd"/>
            <w:r w:rsidR="00231C5B">
              <w:t xml:space="preserve"> à </w:t>
            </w:r>
            <w:r w:rsidR="00231C5B" w:rsidRPr="00246B82">
              <w:rPr>
                <w:b/>
                <w:bCs/>
              </w:rPr>
              <w:t>54%</w:t>
            </w:r>
            <w:r w:rsidR="00231C5B">
              <w:t xml:space="preserve"> (12 187 </w:t>
            </w:r>
            <w:proofErr w:type="spellStart"/>
            <w:r w:rsidR="00231C5B">
              <w:t>contre</w:t>
            </w:r>
            <w:proofErr w:type="spellEnd"/>
            <w:r w:rsidR="00231C5B">
              <w:t xml:space="preserve"> 26 784) </w:t>
            </w:r>
            <w:proofErr w:type="spellStart"/>
            <w:r>
              <w:t>depuis</w:t>
            </w:r>
            <w:proofErr w:type="spellEnd"/>
            <w:r>
              <w:t xml:space="preserve"> 2010 et </w:t>
            </w:r>
            <w:r w:rsidRPr="00333B5A">
              <w:t>34%</w:t>
            </w:r>
            <w:r>
              <w:t xml:space="preserve"> </w:t>
            </w:r>
            <w:proofErr w:type="spellStart"/>
            <w:r>
              <w:t>depui</w:t>
            </w:r>
            <w:proofErr w:type="spellEnd"/>
            <w:r w:rsidR="00231C5B" w:rsidRPr="00333B5A">
              <w:t xml:space="preserve"> 2015</w:t>
            </w:r>
            <w:r>
              <w:t xml:space="preserve"> ; (ii) l</w:t>
            </w:r>
            <w:r w:rsidR="00231C5B">
              <w:t xml:space="preserve">a </w:t>
            </w:r>
            <w:proofErr w:type="spellStart"/>
            <w:r w:rsidR="00231C5B">
              <w:t>réduction</w:t>
            </w:r>
            <w:proofErr w:type="spellEnd"/>
            <w:r w:rsidR="00231C5B">
              <w:t xml:space="preserve"> des </w:t>
            </w:r>
            <w:proofErr w:type="spellStart"/>
            <w:r w:rsidR="00231C5B">
              <w:t>décès</w:t>
            </w:r>
            <w:proofErr w:type="spellEnd"/>
            <w:r w:rsidR="00231C5B">
              <w:t xml:space="preserve"> </w:t>
            </w:r>
            <w:proofErr w:type="spellStart"/>
            <w:r w:rsidR="00231C5B">
              <w:t>liés</w:t>
            </w:r>
            <w:proofErr w:type="spellEnd"/>
            <w:r w:rsidR="00231C5B">
              <w:t xml:space="preserve"> au </w:t>
            </w:r>
            <w:proofErr w:type="spellStart"/>
            <w:r w:rsidR="00231C5B">
              <w:t>sida</w:t>
            </w:r>
            <w:proofErr w:type="spellEnd"/>
            <w:r w:rsidR="00231C5B">
              <w:t xml:space="preserve"> </w:t>
            </w:r>
            <w:proofErr w:type="spellStart"/>
            <w:r>
              <w:t>es</w:t>
            </w:r>
            <w:r w:rsidR="00231C5B">
              <w:t>t</w:t>
            </w:r>
            <w:proofErr w:type="spellEnd"/>
            <w:r w:rsidR="00231C5B">
              <w:t xml:space="preserve"> </w:t>
            </w:r>
            <w:proofErr w:type="spellStart"/>
            <w:r w:rsidR="00231C5B">
              <w:t>estimée</w:t>
            </w:r>
            <w:proofErr w:type="spellEnd"/>
            <w:r w:rsidR="00231C5B">
              <w:t xml:space="preserve"> à 52% (12 893 </w:t>
            </w:r>
            <w:proofErr w:type="spellStart"/>
            <w:r w:rsidR="00231C5B">
              <w:t>contre</w:t>
            </w:r>
            <w:proofErr w:type="spellEnd"/>
            <w:r w:rsidR="00231C5B">
              <w:t xml:space="preserve"> 26 683) </w:t>
            </w:r>
            <w:proofErr w:type="spellStart"/>
            <w:r>
              <w:t>depuis</w:t>
            </w:r>
            <w:proofErr w:type="spellEnd"/>
            <w:r>
              <w:t xml:space="preserve"> 2010 et à 37% </w:t>
            </w:r>
            <w:proofErr w:type="spellStart"/>
            <w:r>
              <w:t>depuis</w:t>
            </w:r>
            <w:proofErr w:type="spellEnd"/>
            <w:r>
              <w:t xml:space="preserve"> 2015 ; et (iii) </w:t>
            </w:r>
            <w:r w:rsidR="00231C5B">
              <w:t xml:space="preserve">le rapport </w:t>
            </w:r>
            <w:r>
              <w:t>i</w:t>
            </w:r>
            <w:r w:rsidR="00231C5B">
              <w:t>ncidence/</w:t>
            </w:r>
            <w:proofErr w:type="spellStart"/>
            <w:r w:rsidR="00231C5B">
              <w:t>prévalence</w:t>
            </w:r>
            <w:proofErr w:type="spellEnd"/>
            <w:r w:rsidR="00231C5B">
              <w:t xml:space="preserve"> </w:t>
            </w:r>
            <w:proofErr w:type="spellStart"/>
            <w:r w:rsidR="00231C5B">
              <w:t>était</w:t>
            </w:r>
            <w:proofErr w:type="spellEnd"/>
            <w:r w:rsidR="00231C5B">
              <w:t xml:space="preserve"> de </w:t>
            </w:r>
            <w:r w:rsidR="00231C5B">
              <w:rPr>
                <w:b/>
                <w:bCs/>
              </w:rPr>
              <w:t>2,8%</w:t>
            </w:r>
            <w:r w:rsidR="00231C5B">
              <w:t xml:space="preserve"> </w:t>
            </w:r>
            <w:proofErr w:type="spellStart"/>
            <w:r w:rsidR="00231C5B">
              <w:t>légèrement</w:t>
            </w:r>
            <w:proofErr w:type="spellEnd"/>
            <w:r w:rsidR="00231C5B">
              <w:t xml:space="preserve"> </w:t>
            </w:r>
            <w:proofErr w:type="spellStart"/>
            <w:r w:rsidR="00231C5B">
              <w:t>en</w:t>
            </w:r>
            <w:proofErr w:type="spellEnd"/>
            <w:r w:rsidR="00231C5B">
              <w:t xml:space="preserve"> </w:t>
            </w:r>
            <w:proofErr w:type="spellStart"/>
            <w:r w:rsidR="00231C5B">
              <w:t>deçà</w:t>
            </w:r>
            <w:proofErr w:type="spellEnd"/>
            <w:r w:rsidR="00231C5B">
              <w:t xml:space="preserve"> de la </w:t>
            </w:r>
            <w:proofErr w:type="spellStart"/>
            <w:r w:rsidR="00231C5B">
              <w:t>cible</w:t>
            </w:r>
            <w:proofErr w:type="spellEnd"/>
            <w:r w:rsidR="00231C5B">
              <w:t xml:space="preserve"> de 3% </w:t>
            </w:r>
            <w:proofErr w:type="spellStart"/>
            <w:r w:rsidR="00231C5B">
              <w:t>considérée</w:t>
            </w:r>
            <w:proofErr w:type="spellEnd"/>
            <w:r w:rsidR="00231C5B">
              <w:t xml:space="preserve"> </w:t>
            </w:r>
            <w:proofErr w:type="spellStart"/>
            <w:r w:rsidR="00231C5B">
              <w:t>comme</w:t>
            </w:r>
            <w:proofErr w:type="spellEnd"/>
            <w:r w:rsidR="00231C5B">
              <w:t xml:space="preserve"> </w:t>
            </w:r>
            <w:proofErr w:type="spellStart"/>
            <w:r w:rsidR="00231C5B">
              <w:t>l’objectif</w:t>
            </w:r>
            <w:proofErr w:type="spellEnd"/>
            <w:r w:rsidR="00231C5B">
              <w:t xml:space="preserve"> de </w:t>
            </w:r>
            <w:proofErr w:type="spellStart"/>
            <w:r w:rsidR="00231C5B">
              <w:t>contrôle</w:t>
            </w:r>
            <w:proofErr w:type="spellEnd"/>
            <w:r w:rsidR="00231C5B">
              <w:t xml:space="preserve"> de </w:t>
            </w:r>
            <w:proofErr w:type="spellStart"/>
            <w:r w:rsidR="00231C5B">
              <w:t>l’épidémie</w:t>
            </w:r>
            <w:proofErr w:type="spellEnd"/>
            <w:r w:rsidR="00231C5B">
              <w:t>.</w:t>
            </w:r>
          </w:p>
          <w:p w14:paraId="0BAB7906" w14:textId="3AF3BD19" w:rsidR="00231C5B" w:rsidRDefault="00231C5B" w:rsidP="000525BF">
            <w:pPr>
              <w:pStyle w:val="Caption"/>
              <w:jc w:val="center"/>
            </w:pPr>
            <w:r>
              <w:rPr>
                <w:noProof/>
                <w:lang w:eastAsia="fr-FR"/>
              </w:rPr>
              <w:drawing>
                <wp:inline distT="0" distB="0" distL="0" distR="0" wp14:anchorId="29AD1190" wp14:editId="3E473D23">
                  <wp:extent cx="4510329" cy="1634868"/>
                  <wp:effectExtent l="0" t="0" r="508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53376" cy="1650471"/>
                          </a:xfrm>
                          <a:prstGeom prst="rect">
                            <a:avLst/>
                          </a:prstGeom>
                          <a:noFill/>
                        </pic:spPr>
                      </pic:pic>
                    </a:graphicData>
                  </a:graphic>
                </wp:inline>
              </w:drawing>
            </w:r>
          </w:p>
          <w:p w14:paraId="738F1D62" w14:textId="0672F8F5" w:rsidR="00231C5B" w:rsidRPr="000525BF" w:rsidRDefault="00231C5B" w:rsidP="000525BF">
            <w:pPr>
              <w:pStyle w:val="Caption"/>
              <w:jc w:val="center"/>
              <w:rPr>
                <w:rFonts w:ascii="Arial" w:eastAsiaTheme="minorHAnsi" w:hAnsi="Arial"/>
                <w:bCs w:val="0"/>
                <w:i/>
                <w:smallCaps w:val="0"/>
                <w:color w:val="auto"/>
                <w:spacing w:val="0"/>
                <w:sz w:val="16"/>
                <w:szCs w:val="22"/>
              </w:rPr>
            </w:pPr>
            <w:r w:rsidRPr="000525BF">
              <w:rPr>
                <w:rFonts w:ascii="Arial" w:eastAsiaTheme="minorHAnsi" w:hAnsi="Arial"/>
                <w:bCs w:val="0"/>
                <w:i/>
                <w:smallCaps w:val="0"/>
                <w:color w:val="auto"/>
                <w:spacing w:val="0"/>
                <w:sz w:val="16"/>
                <w:szCs w:val="22"/>
              </w:rPr>
              <w:t xml:space="preserve">Graphique </w:t>
            </w:r>
            <w:r w:rsidRPr="000525BF">
              <w:rPr>
                <w:rFonts w:ascii="Arial" w:eastAsiaTheme="minorHAnsi" w:hAnsi="Arial"/>
                <w:bCs w:val="0"/>
                <w:i/>
                <w:smallCaps w:val="0"/>
                <w:color w:val="auto"/>
                <w:spacing w:val="0"/>
                <w:sz w:val="16"/>
                <w:szCs w:val="22"/>
              </w:rPr>
              <w:fldChar w:fldCharType="begin"/>
            </w:r>
            <w:r w:rsidRPr="000525BF">
              <w:rPr>
                <w:rFonts w:ascii="Arial" w:eastAsiaTheme="minorHAnsi" w:hAnsi="Arial"/>
                <w:bCs w:val="0"/>
                <w:i/>
                <w:smallCaps w:val="0"/>
                <w:color w:val="auto"/>
                <w:spacing w:val="0"/>
                <w:sz w:val="16"/>
                <w:szCs w:val="22"/>
              </w:rPr>
              <w:instrText xml:space="preserve"> SEQ Graphique \* ARABIC </w:instrText>
            </w:r>
            <w:r w:rsidRPr="000525BF">
              <w:rPr>
                <w:rFonts w:ascii="Arial" w:eastAsiaTheme="minorHAnsi" w:hAnsi="Arial"/>
                <w:bCs w:val="0"/>
                <w:i/>
                <w:smallCaps w:val="0"/>
                <w:color w:val="auto"/>
                <w:spacing w:val="0"/>
                <w:sz w:val="16"/>
                <w:szCs w:val="22"/>
              </w:rPr>
              <w:fldChar w:fldCharType="separate"/>
            </w:r>
            <w:r w:rsidRPr="000525BF">
              <w:rPr>
                <w:rFonts w:ascii="Arial" w:eastAsiaTheme="minorHAnsi" w:hAnsi="Arial"/>
                <w:bCs w:val="0"/>
                <w:i/>
                <w:smallCaps w:val="0"/>
                <w:color w:val="auto"/>
                <w:spacing w:val="0"/>
                <w:sz w:val="16"/>
                <w:szCs w:val="22"/>
              </w:rPr>
              <w:t>6</w:t>
            </w:r>
            <w:r w:rsidRPr="000525BF">
              <w:rPr>
                <w:rFonts w:ascii="Arial" w:eastAsiaTheme="minorHAnsi" w:hAnsi="Arial"/>
                <w:bCs w:val="0"/>
                <w:i/>
                <w:smallCaps w:val="0"/>
                <w:color w:val="auto"/>
                <w:spacing w:val="0"/>
                <w:sz w:val="16"/>
                <w:szCs w:val="22"/>
              </w:rPr>
              <w:fldChar w:fldCharType="end"/>
            </w:r>
            <w:r w:rsidRPr="000525BF">
              <w:rPr>
                <w:rFonts w:ascii="Arial" w:eastAsiaTheme="minorHAnsi" w:hAnsi="Arial"/>
                <w:bCs w:val="0"/>
                <w:i/>
                <w:smallCaps w:val="0"/>
                <w:color w:val="auto"/>
                <w:spacing w:val="0"/>
                <w:sz w:val="16"/>
                <w:szCs w:val="22"/>
              </w:rPr>
              <w:t xml:space="preserve"> : </w:t>
            </w:r>
            <w:r w:rsidRPr="000525BF">
              <w:rPr>
                <w:rFonts w:ascii="Arial" w:eastAsiaTheme="minorHAnsi" w:hAnsi="Arial"/>
                <w:b w:val="0"/>
                <w:i/>
                <w:smallCaps w:val="0"/>
                <w:color w:val="auto"/>
                <w:spacing w:val="0"/>
                <w:sz w:val="16"/>
                <w:szCs w:val="22"/>
              </w:rPr>
              <w:t>Evolution du rapport Incidence / Prévalence du VIH entre 2000 et 2025 (Spectrum 20</w:t>
            </w:r>
            <w:r w:rsidR="00002153">
              <w:rPr>
                <w:rFonts w:ascii="Arial" w:eastAsiaTheme="minorHAnsi" w:hAnsi="Arial"/>
                <w:b w:val="0"/>
                <w:i/>
                <w:smallCaps w:val="0"/>
                <w:color w:val="auto"/>
                <w:spacing w:val="0"/>
                <w:sz w:val="16"/>
                <w:szCs w:val="22"/>
              </w:rPr>
              <w:t>20</w:t>
            </w:r>
            <w:r w:rsidR="00EA393B">
              <w:rPr>
                <w:rFonts w:ascii="Arial" w:eastAsiaTheme="minorHAnsi" w:hAnsi="Arial"/>
                <w:b w:val="0"/>
                <w:i/>
                <w:smallCaps w:val="0"/>
                <w:color w:val="auto"/>
                <w:spacing w:val="0"/>
                <w:sz w:val="16"/>
                <w:szCs w:val="22"/>
              </w:rPr>
              <w:t>, Annexe 2</w:t>
            </w:r>
            <w:r w:rsidRPr="000525BF">
              <w:rPr>
                <w:rFonts w:ascii="Arial" w:eastAsiaTheme="minorHAnsi" w:hAnsi="Arial"/>
                <w:b w:val="0"/>
                <w:i/>
                <w:smallCaps w:val="0"/>
                <w:color w:val="auto"/>
                <w:spacing w:val="0"/>
                <w:sz w:val="16"/>
                <w:szCs w:val="22"/>
              </w:rPr>
              <w:t>)</w:t>
            </w:r>
          </w:p>
          <w:p w14:paraId="13467343" w14:textId="0470931A" w:rsidR="00231C5B" w:rsidRPr="009237E2" w:rsidRDefault="00231C5B" w:rsidP="00750CA9">
            <w:pPr>
              <w:pStyle w:val="Texteformulaire"/>
            </w:pPr>
            <w:r w:rsidRPr="009237E2">
              <w:t xml:space="preserve">La performance </w:t>
            </w:r>
            <w:proofErr w:type="spellStart"/>
            <w:r w:rsidRPr="009237E2">
              <w:t>atteinte</w:t>
            </w:r>
            <w:proofErr w:type="spellEnd"/>
            <w:r w:rsidRPr="009237E2">
              <w:t xml:space="preserve"> par la Côte d’Ivoire </w:t>
            </w:r>
            <w:proofErr w:type="spellStart"/>
            <w:r w:rsidRPr="009237E2">
              <w:t>en</w:t>
            </w:r>
            <w:proofErr w:type="spellEnd"/>
            <w:r w:rsidRPr="009237E2">
              <w:t xml:space="preserve"> </w:t>
            </w:r>
            <w:proofErr w:type="spellStart"/>
            <w:r w:rsidRPr="009237E2">
              <w:t>termes</w:t>
            </w:r>
            <w:proofErr w:type="spellEnd"/>
            <w:r w:rsidRPr="009237E2">
              <w:t xml:space="preserve"> de </w:t>
            </w:r>
            <w:proofErr w:type="spellStart"/>
            <w:r w:rsidRPr="009237E2">
              <w:t>réduction</w:t>
            </w:r>
            <w:proofErr w:type="spellEnd"/>
            <w:r w:rsidRPr="009237E2">
              <w:t xml:space="preserve"> du </w:t>
            </w:r>
            <w:r>
              <w:t xml:space="preserve">ratio </w:t>
            </w:r>
            <w:r w:rsidRPr="009237E2">
              <w:t>incidence-</w:t>
            </w:r>
            <w:proofErr w:type="spellStart"/>
            <w:r w:rsidRPr="009237E2">
              <w:t>prévalence</w:t>
            </w:r>
            <w:proofErr w:type="spellEnd"/>
            <w:r w:rsidRPr="009237E2">
              <w:t xml:space="preserve"> </w:t>
            </w:r>
            <w:proofErr w:type="spellStart"/>
            <w:r w:rsidRPr="009237E2">
              <w:t>est</w:t>
            </w:r>
            <w:proofErr w:type="spellEnd"/>
            <w:r w:rsidRPr="009237E2">
              <w:t xml:space="preserve"> </w:t>
            </w:r>
            <w:proofErr w:type="spellStart"/>
            <w:r w:rsidRPr="009237E2">
              <w:t>encourageante</w:t>
            </w:r>
            <w:proofErr w:type="spellEnd"/>
            <w:r w:rsidRPr="009237E2">
              <w:t xml:space="preserve">, </w:t>
            </w:r>
            <w:proofErr w:type="spellStart"/>
            <w:r w:rsidR="00653FC9">
              <w:t>située</w:t>
            </w:r>
            <w:proofErr w:type="spellEnd"/>
            <w:r w:rsidR="00653FC9">
              <w:t xml:space="preserve"> </w:t>
            </w:r>
            <w:proofErr w:type="spellStart"/>
            <w:r w:rsidRPr="009237E2">
              <w:t>largement</w:t>
            </w:r>
            <w:proofErr w:type="spellEnd"/>
            <w:r w:rsidRPr="009237E2">
              <w:t xml:space="preserve"> sous la </w:t>
            </w:r>
            <w:proofErr w:type="spellStart"/>
            <w:r w:rsidRPr="009237E2">
              <w:t>moyenne</w:t>
            </w:r>
            <w:proofErr w:type="spellEnd"/>
            <w:r w:rsidRPr="009237E2">
              <w:t xml:space="preserve"> de 5,5% </w:t>
            </w:r>
            <w:proofErr w:type="spellStart"/>
            <w:r w:rsidRPr="009237E2">
              <w:t>enregistré</w:t>
            </w:r>
            <w:r>
              <w:t>e</w:t>
            </w:r>
            <w:proofErr w:type="spellEnd"/>
            <w:r w:rsidRPr="009237E2">
              <w:t xml:space="preserve"> </w:t>
            </w:r>
            <w:proofErr w:type="spellStart"/>
            <w:r w:rsidRPr="009237E2">
              <w:t>en</w:t>
            </w:r>
            <w:proofErr w:type="spellEnd"/>
            <w:r w:rsidRPr="009237E2">
              <w:t xml:space="preserve"> Afrique de </w:t>
            </w:r>
            <w:proofErr w:type="spellStart"/>
            <w:r w:rsidRPr="009237E2">
              <w:t>l’Ouest</w:t>
            </w:r>
            <w:proofErr w:type="spellEnd"/>
            <w:r w:rsidR="00653FC9">
              <w:t xml:space="preserve">, </w:t>
            </w:r>
            <w:proofErr w:type="spellStart"/>
            <w:r w:rsidR="00653FC9">
              <w:t>si</w:t>
            </w:r>
            <w:proofErr w:type="spellEnd"/>
            <w:r w:rsidR="00653FC9">
              <w:t xml:space="preserve"> bien </w:t>
            </w:r>
            <w:proofErr w:type="spellStart"/>
            <w:r w:rsidR="00653FC9">
              <w:t>qu’on</w:t>
            </w:r>
            <w:proofErr w:type="spellEnd"/>
            <w:r w:rsidR="00653FC9">
              <w:t xml:space="preserve"> </w:t>
            </w:r>
            <w:proofErr w:type="spellStart"/>
            <w:r w:rsidR="00653FC9">
              <w:t>peut</w:t>
            </w:r>
            <w:proofErr w:type="spellEnd"/>
            <w:r w:rsidR="00653FC9">
              <w:t xml:space="preserve"> </w:t>
            </w:r>
            <w:proofErr w:type="spellStart"/>
            <w:r>
              <w:t>estimer</w:t>
            </w:r>
            <w:proofErr w:type="spellEnd"/>
            <w:r>
              <w:t xml:space="preserve"> que l</w:t>
            </w:r>
            <w:r w:rsidRPr="009237E2">
              <w:t xml:space="preserve">a transition </w:t>
            </w:r>
            <w:proofErr w:type="spellStart"/>
            <w:r w:rsidRPr="009237E2">
              <w:t>épidémique</w:t>
            </w:r>
            <w:proofErr w:type="spellEnd"/>
            <w:r w:rsidRPr="009237E2">
              <w:t xml:space="preserve"> </w:t>
            </w:r>
            <w:proofErr w:type="spellStart"/>
            <w:r w:rsidRPr="009237E2">
              <w:t>est</w:t>
            </w:r>
            <w:proofErr w:type="spellEnd"/>
            <w:r w:rsidRPr="009237E2">
              <w:t xml:space="preserve"> </w:t>
            </w:r>
            <w:proofErr w:type="spellStart"/>
            <w:r w:rsidRPr="009237E2">
              <w:t>en</w:t>
            </w:r>
            <w:proofErr w:type="spellEnd"/>
            <w:r w:rsidRPr="009237E2">
              <w:t xml:space="preserve"> </w:t>
            </w:r>
            <w:proofErr w:type="spellStart"/>
            <w:r w:rsidRPr="009237E2">
              <w:t>cours</w:t>
            </w:r>
            <w:proofErr w:type="spellEnd"/>
            <w:r>
              <w:t xml:space="preserve"> </w:t>
            </w:r>
            <w:proofErr w:type="spellStart"/>
            <w:r>
              <w:t>en</w:t>
            </w:r>
            <w:proofErr w:type="spellEnd"/>
            <w:r>
              <w:t xml:space="preserve"> Côte d’Ivoire.</w:t>
            </w:r>
          </w:p>
          <w:p w14:paraId="23E131A5" w14:textId="77777777" w:rsidR="00231C5B" w:rsidRPr="000525BF" w:rsidRDefault="00231C5B" w:rsidP="000525BF"/>
          <w:p w14:paraId="36198B1E" w14:textId="3C12F9B6" w:rsidR="005D402E" w:rsidRPr="00750CA9" w:rsidRDefault="005D402E" w:rsidP="00882FC6">
            <w:pPr>
              <w:pStyle w:val="Texteformulaire"/>
              <w:rPr>
                <w:b/>
                <w:i/>
                <w:lang w:val="fr-FR"/>
              </w:rPr>
            </w:pPr>
            <w:r w:rsidRPr="00750CA9">
              <w:rPr>
                <w:b/>
                <w:i/>
                <w:lang w:val="fr-FR"/>
              </w:rPr>
              <w:t>Populations clés </w:t>
            </w:r>
            <w:r w:rsidRPr="00750CA9">
              <w:rPr>
                <w:i/>
                <w:lang w:val="fr-FR"/>
              </w:rPr>
              <w:t>:</w:t>
            </w:r>
          </w:p>
          <w:p w14:paraId="372EE014" w14:textId="4832C592" w:rsidR="00581CCB" w:rsidRPr="00390EA4" w:rsidRDefault="00882FC6" w:rsidP="00882FC6">
            <w:pPr>
              <w:pStyle w:val="Texteformulaire"/>
              <w:rPr>
                <w:lang w:val="fr-FR"/>
              </w:rPr>
            </w:pPr>
            <w:r w:rsidRPr="00390EA4">
              <w:rPr>
                <w:lang w:val="fr-FR"/>
              </w:rPr>
              <w:t>Dans</w:t>
            </w:r>
            <w:r w:rsidR="00581CCB" w:rsidRPr="00390EA4">
              <w:rPr>
                <w:lang w:val="fr-FR"/>
              </w:rPr>
              <w:t xml:space="preserve"> les </w:t>
            </w:r>
            <w:r w:rsidR="00581CCB" w:rsidRPr="00390EA4">
              <w:rPr>
                <w:bCs/>
                <w:lang w:val="fr-FR"/>
              </w:rPr>
              <w:t>populations clés</w:t>
            </w:r>
            <w:r w:rsidR="00581CCB" w:rsidRPr="00390EA4">
              <w:rPr>
                <w:lang w:val="fr-FR"/>
              </w:rPr>
              <w:t xml:space="preserve"> </w:t>
            </w:r>
            <w:r w:rsidR="002E4BAA" w:rsidRPr="00390EA4">
              <w:rPr>
                <w:lang w:val="fr-FR"/>
              </w:rPr>
              <w:t>du</w:t>
            </w:r>
            <w:r w:rsidR="00581CCB" w:rsidRPr="00390EA4">
              <w:rPr>
                <w:lang w:val="fr-FR"/>
              </w:rPr>
              <w:t xml:space="preserve"> dernier</w:t>
            </w:r>
            <w:r w:rsidRPr="00390EA4">
              <w:rPr>
                <w:lang w:val="fr-FR"/>
              </w:rPr>
              <w:t xml:space="preserve"> </w:t>
            </w:r>
            <w:r w:rsidR="00581CCB" w:rsidRPr="00390EA4">
              <w:rPr>
                <w:lang w:val="fr-FR"/>
              </w:rPr>
              <w:t>PSN (PS,</w:t>
            </w:r>
            <w:r w:rsidRPr="00390EA4">
              <w:rPr>
                <w:lang w:val="fr-FR"/>
              </w:rPr>
              <w:t xml:space="preserve"> </w:t>
            </w:r>
            <w:r w:rsidR="00581CCB" w:rsidRPr="00390EA4">
              <w:rPr>
                <w:lang w:val="fr-FR"/>
              </w:rPr>
              <w:t>HSH,</w:t>
            </w:r>
            <w:r w:rsidRPr="00390EA4">
              <w:rPr>
                <w:lang w:val="fr-FR"/>
              </w:rPr>
              <w:t xml:space="preserve"> </w:t>
            </w:r>
            <w:r w:rsidR="00581CCB" w:rsidRPr="00390EA4">
              <w:rPr>
                <w:lang w:val="fr-FR"/>
              </w:rPr>
              <w:t>UD et</w:t>
            </w:r>
            <w:r w:rsidRPr="00390EA4">
              <w:rPr>
                <w:lang w:val="fr-FR"/>
              </w:rPr>
              <w:t xml:space="preserve"> </w:t>
            </w:r>
            <w:r w:rsidR="00581CCB" w:rsidRPr="00390EA4">
              <w:rPr>
                <w:lang w:val="fr-FR"/>
              </w:rPr>
              <w:t>population carcérale)</w:t>
            </w:r>
            <w:r w:rsidR="002E4BAA" w:rsidRPr="00390EA4">
              <w:rPr>
                <w:lang w:val="fr-FR"/>
              </w:rPr>
              <w:t>,</w:t>
            </w:r>
            <w:r w:rsidR="00581CCB" w:rsidRPr="00390EA4">
              <w:rPr>
                <w:lang w:val="fr-FR"/>
              </w:rPr>
              <w:t xml:space="preserve"> plusieurs études bio-comportementales et d’estimations de taille de population ont été réalisées, qui montrent toutes (sauf en milieu carcéral) des niveaux de prévalence largement supérieurs à 2,39%. </w:t>
            </w:r>
            <w:r w:rsidR="002E4BAA" w:rsidRPr="00390EA4">
              <w:rPr>
                <w:lang w:val="fr-FR"/>
              </w:rPr>
              <w:t xml:space="preserve">Dans une récente étude portant sur </w:t>
            </w:r>
            <w:r w:rsidR="008428EC">
              <w:rPr>
                <w:lang w:val="fr-FR"/>
              </w:rPr>
              <w:t>les</w:t>
            </w:r>
            <w:r w:rsidR="008428EC" w:rsidRPr="00390EA4">
              <w:rPr>
                <w:lang w:val="fr-FR"/>
              </w:rPr>
              <w:t xml:space="preserve"> </w:t>
            </w:r>
            <w:r w:rsidR="002E4BAA" w:rsidRPr="00390EA4">
              <w:rPr>
                <w:lang w:val="fr-FR"/>
              </w:rPr>
              <w:t xml:space="preserve">personnes transgenres, </w:t>
            </w:r>
            <w:r w:rsidR="008428EC">
              <w:rPr>
                <w:lang w:val="fr-FR"/>
              </w:rPr>
              <w:t>la prévalence du</w:t>
            </w:r>
            <w:r w:rsidR="002E4BAA" w:rsidRPr="00390EA4">
              <w:rPr>
                <w:lang w:val="fr-FR"/>
              </w:rPr>
              <w:t xml:space="preserve"> VIH </w:t>
            </w:r>
            <w:r w:rsidR="008428EC">
              <w:rPr>
                <w:lang w:val="fr-FR"/>
              </w:rPr>
              <w:t>était de 22,6</w:t>
            </w:r>
            <w:r w:rsidR="005F315A">
              <w:rPr>
                <w:lang w:val="fr-FR"/>
              </w:rPr>
              <w:t>% (</w:t>
            </w:r>
            <w:r w:rsidR="00F30655" w:rsidRPr="00EA393B">
              <w:rPr>
                <w:i/>
                <w:iCs/>
                <w:lang w:val="fr-FR"/>
              </w:rPr>
              <w:t>Annexe 7</w:t>
            </w:r>
            <w:r w:rsidR="00EA393B" w:rsidRPr="00EA393B">
              <w:rPr>
                <w:i/>
                <w:iCs/>
                <w:lang w:val="fr-FR"/>
              </w:rPr>
              <w:t>)</w:t>
            </w:r>
            <w:r w:rsidR="002E4BAA" w:rsidRPr="00EA393B">
              <w:rPr>
                <w:i/>
                <w:iCs/>
                <w:lang w:val="fr-FR"/>
              </w:rPr>
              <w:t xml:space="preserve">. </w:t>
            </w:r>
            <w:r w:rsidR="002E4BAA" w:rsidRPr="00390EA4">
              <w:rPr>
                <w:lang w:val="fr-FR"/>
              </w:rPr>
              <w:t>Une attention particulière est donc nécessaire dans cette population spécifique.</w:t>
            </w:r>
          </w:p>
          <w:tbl>
            <w:tblPr>
              <w:tblStyle w:val="TableGrid"/>
              <w:tblW w:w="5000" w:type="pct"/>
              <w:tblLook w:val="04A0" w:firstRow="1" w:lastRow="0" w:firstColumn="1" w:lastColumn="0" w:noHBand="0" w:noVBand="1"/>
            </w:tblPr>
            <w:tblGrid>
              <w:gridCol w:w="2434"/>
              <w:gridCol w:w="1133"/>
              <w:gridCol w:w="1226"/>
              <w:gridCol w:w="1326"/>
              <w:gridCol w:w="1136"/>
              <w:gridCol w:w="1359"/>
              <w:gridCol w:w="1616"/>
            </w:tblGrid>
            <w:tr w:rsidR="005D402E" w:rsidRPr="00992108" w14:paraId="1E8EDFC6" w14:textId="77777777" w:rsidTr="00390EA4">
              <w:tc>
                <w:tcPr>
                  <w:tcW w:w="1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B9DFB0" w14:textId="77777777" w:rsidR="005D402E" w:rsidRPr="00E80CEF" w:rsidRDefault="005D402E" w:rsidP="00842A92">
                  <w:pPr>
                    <w:jc w:val="both"/>
                    <w:rPr>
                      <w:rFonts w:ascii="Calibri" w:hAnsi="Calibri"/>
                      <w:b/>
                    </w:rPr>
                  </w:pPr>
                  <w:r w:rsidRPr="00E80CEF">
                    <w:rPr>
                      <w:rFonts w:ascii="Calibri" w:hAnsi="Calibri"/>
                      <w:b/>
                    </w:rPr>
                    <w:lastRenderedPageBreak/>
                    <w:t>2019</w:t>
                  </w:r>
                </w:p>
              </w:tc>
              <w:tc>
                <w:tcPr>
                  <w:tcW w:w="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7178A" w14:textId="30E11642" w:rsidR="005D402E" w:rsidRPr="00474FC8" w:rsidRDefault="00032E07" w:rsidP="00750CA9">
                  <w:pPr>
                    <w:jc w:val="center"/>
                    <w:rPr>
                      <w:rFonts w:ascii="Calibri" w:hAnsi="Calibri"/>
                      <w:b/>
                    </w:rPr>
                  </w:pPr>
                  <w:r>
                    <w:rPr>
                      <w:rFonts w:ascii="Calibri" w:hAnsi="Calibri"/>
                      <w:b/>
                    </w:rPr>
                    <w:t>T</w:t>
                  </w:r>
                  <w:r w:rsidR="005D402E" w:rsidRPr="00474FC8">
                    <w:rPr>
                      <w:rFonts w:ascii="Calibri" w:hAnsi="Calibri"/>
                      <w:b/>
                    </w:rPr>
                    <w:t>S</w:t>
                  </w: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ED03D" w14:textId="77777777" w:rsidR="005D402E" w:rsidRPr="00474FC8" w:rsidRDefault="005D402E" w:rsidP="00750CA9">
                  <w:pPr>
                    <w:jc w:val="center"/>
                    <w:rPr>
                      <w:rFonts w:ascii="Calibri" w:hAnsi="Calibri"/>
                      <w:b/>
                    </w:rPr>
                  </w:pPr>
                  <w:r w:rsidRPr="00474FC8">
                    <w:rPr>
                      <w:rFonts w:ascii="Calibri" w:hAnsi="Calibri"/>
                      <w:b/>
                    </w:rPr>
                    <w:t>HSH</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79C76" w14:textId="77777777" w:rsidR="005D402E" w:rsidRPr="00474FC8" w:rsidRDefault="005D402E" w:rsidP="00750CA9">
                  <w:pPr>
                    <w:jc w:val="center"/>
                    <w:rPr>
                      <w:rFonts w:ascii="Calibri" w:hAnsi="Calibri"/>
                      <w:b/>
                    </w:rPr>
                  </w:pPr>
                  <w:r w:rsidRPr="00474FC8">
                    <w:rPr>
                      <w:rFonts w:ascii="Calibri" w:hAnsi="Calibri"/>
                      <w:b/>
                    </w:rPr>
                    <w:t>UD</w:t>
                  </w:r>
                </w:p>
              </w:tc>
              <w:tc>
                <w:tcPr>
                  <w:tcW w:w="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5E40D" w14:textId="53F1BEAB" w:rsidR="005D402E" w:rsidRPr="00474FC8" w:rsidRDefault="005D402E" w:rsidP="00750CA9">
                  <w:pPr>
                    <w:jc w:val="center"/>
                    <w:rPr>
                      <w:rFonts w:ascii="Calibri" w:hAnsi="Calibri"/>
                      <w:b/>
                    </w:rPr>
                  </w:pPr>
                  <w:r>
                    <w:rPr>
                      <w:rFonts w:ascii="Calibri" w:hAnsi="Calibri"/>
                      <w:b/>
                    </w:rPr>
                    <w:t>UDI</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B9D11" w14:textId="45046C54" w:rsidR="005D402E" w:rsidRPr="00474FC8" w:rsidRDefault="005D402E" w:rsidP="00750CA9">
                  <w:pPr>
                    <w:jc w:val="center"/>
                    <w:rPr>
                      <w:rFonts w:ascii="Calibri" w:hAnsi="Calibri"/>
                      <w:b/>
                    </w:rPr>
                  </w:pPr>
                  <w:r>
                    <w:rPr>
                      <w:rFonts w:ascii="Calibri" w:hAnsi="Calibri"/>
                      <w:b/>
                    </w:rPr>
                    <w:t>Transgenres</w:t>
                  </w:r>
                </w:p>
              </w:tc>
              <w:tc>
                <w:tcPr>
                  <w:tcW w:w="7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6A2EB6" w14:textId="498C3D13" w:rsidR="005D402E" w:rsidRPr="00474FC8" w:rsidRDefault="00032E07" w:rsidP="00750CA9">
                  <w:pPr>
                    <w:jc w:val="center"/>
                    <w:rPr>
                      <w:rFonts w:ascii="Calibri" w:hAnsi="Calibri"/>
                      <w:b/>
                    </w:rPr>
                  </w:pPr>
                  <w:r>
                    <w:rPr>
                      <w:rFonts w:ascii="Calibri" w:hAnsi="Calibri"/>
                      <w:b/>
                    </w:rPr>
                    <w:t>Détenus</w:t>
                  </w:r>
                </w:p>
              </w:tc>
            </w:tr>
            <w:tr w:rsidR="005D402E" w:rsidRPr="00992108" w14:paraId="15845168" w14:textId="77777777" w:rsidTr="00390EA4">
              <w:tc>
                <w:tcPr>
                  <w:tcW w:w="1190" w:type="pct"/>
                  <w:tcBorders>
                    <w:top w:val="single" w:sz="4" w:space="0" w:color="auto"/>
                    <w:left w:val="single" w:sz="4" w:space="0" w:color="auto"/>
                    <w:bottom w:val="single" w:sz="4" w:space="0" w:color="auto"/>
                    <w:right w:val="single" w:sz="4" w:space="0" w:color="auto"/>
                  </w:tcBorders>
                  <w:hideMark/>
                </w:tcPr>
                <w:p w14:paraId="6A2B78BB" w14:textId="77777777" w:rsidR="005D402E" w:rsidRPr="00E80CEF" w:rsidRDefault="005D402E" w:rsidP="00842A92">
                  <w:pPr>
                    <w:jc w:val="both"/>
                    <w:rPr>
                      <w:rFonts w:ascii="Calibri" w:hAnsi="Calibri"/>
                      <w:b/>
                    </w:rPr>
                  </w:pPr>
                  <w:r w:rsidRPr="00E80CEF">
                    <w:rPr>
                      <w:rFonts w:ascii="Calibri" w:hAnsi="Calibri"/>
                      <w:b/>
                    </w:rPr>
                    <w:t>Taille Estimée</w:t>
                  </w:r>
                </w:p>
              </w:tc>
              <w:tc>
                <w:tcPr>
                  <w:tcW w:w="554" w:type="pct"/>
                  <w:tcBorders>
                    <w:top w:val="single" w:sz="4" w:space="0" w:color="auto"/>
                    <w:left w:val="single" w:sz="4" w:space="0" w:color="auto"/>
                    <w:bottom w:val="single" w:sz="4" w:space="0" w:color="auto"/>
                    <w:right w:val="single" w:sz="4" w:space="0" w:color="auto"/>
                  </w:tcBorders>
                  <w:hideMark/>
                </w:tcPr>
                <w:p w14:paraId="20C39AEB" w14:textId="2B18776B" w:rsidR="005D402E" w:rsidRPr="00750CA9" w:rsidRDefault="005D402E" w:rsidP="00750CA9">
                  <w:pPr>
                    <w:jc w:val="center"/>
                    <w:rPr>
                      <w:rFonts w:ascii="Calibri" w:hAnsi="Calibri"/>
                    </w:rPr>
                  </w:pPr>
                  <w:r w:rsidRPr="00750CA9">
                    <w:rPr>
                      <w:rFonts w:ascii="Calibri" w:hAnsi="Calibri"/>
                    </w:rPr>
                    <w:t>48 570</w:t>
                  </w:r>
                </w:p>
              </w:tc>
              <w:tc>
                <w:tcPr>
                  <w:tcW w:w="599" w:type="pct"/>
                  <w:tcBorders>
                    <w:top w:val="single" w:sz="4" w:space="0" w:color="auto"/>
                    <w:left w:val="single" w:sz="4" w:space="0" w:color="auto"/>
                    <w:bottom w:val="single" w:sz="4" w:space="0" w:color="auto"/>
                    <w:right w:val="single" w:sz="4" w:space="0" w:color="auto"/>
                  </w:tcBorders>
                  <w:hideMark/>
                </w:tcPr>
                <w:p w14:paraId="0B1ADBF4" w14:textId="240FCFD4" w:rsidR="005D402E" w:rsidRPr="00750CA9" w:rsidRDefault="008428EC" w:rsidP="00750CA9">
                  <w:pPr>
                    <w:jc w:val="center"/>
                    <w:rPr>
                      <w:rFonts w:ascii="Calibri" w:hAnsi="Calibri"/>
                    </w:rPr>
                  </w:pPr>
                  <w:r w:rsidRPr="00750CA9">
                    <w:rPr>
                      <w:rFonts w:ascii="Calibri" w:hAnsi="Calibri"/>
                    </w:rPr>
                    <w:t>34 675</w:t>
                  </w:r>
                </w:p>
              </w:tc>
              <w:tc>
                <w:tcPr>
                  <w:tcW w:w="648" w:type="pct"/>
                  <w:tcBorders>
                    <w:top w:val="single" w:sz="4" w:space="0" w:color="auto"/>
                    <w:left w:val="single" w:sz="4" w:space="0" w:color="auto"/>
                    <w:bottom w:val="single" w:sz="4" w:space="0" w:color="auto"/>
                    <w:right w:val="single" w:sz="4" w:space="0" w:color="auto"/>
                  </w:tcBorders>
                  <w:hideMark/>
                </w:tcPr>
                <w:p w14:paraId="2074C40F" w14:textId="6CCCC617" w:rsidR="005D402E" w:rsidRPr="00750CA9" w:rsidRDefault="005D402E" w:rsidP="008428EC">
                  <w:pPr>
                    <w:jc w:val="center"/>
                    <w:rPr>
                      <w:rFonts w:ascii="Calibri" w:hAnsi="Calibri"/>
                    </w:rPr>
                  </w:pPr>
                  <w:r w:rsidRPr="00750CA9">
                    <w:rPr>
                      <w:rFonts w:ascii="Calibri" w:hAnsi="Calibri"/>
                    </w:rPr>
                    <w:t>9 524</w:t>
                  </w:r>
                </w:p>
              </w:tc>
              <w:tc>
                <w:tcPr>
                  <w:tcW w:w="554" w:type="pct"/>
                  <w:tcBorders>
                    <w:top w:val="single" w:sz="4" w:space="0" w:color="auto"/>
                    <w:left w:val="single" w:sz="4" w:space="0" w:color="auto"/>
                    <w:bottom w:val="single" w:sz="4" w:space="0" w:color="auto"/>
                    <w:right w:val="single" w:sz="4" w:space="0" w:color="auto"/>
                  </w:tcBorders>
                </w:tcPr>
                <w:p w14:paraId="5AC53B54" w14:textId="4B73A867" w:rsidR="005D402E" w:rsidRPr="00750CA9" w:rsidRDefault="005D402E" w:rsidP="008428EC">
                  <w:pPr>
                    <w:jc w:val="center"/>
                    <w:rPr>
                      <w:rFonts w:ascii="Calibri" w:hAnsi="Calibri"/>
                    </w:rPr>
                  </w:pPr>
                  <w:r w:rsidRPr="00750CA9">
                    <w:rPr>
                      <w:rFonts w:ascii="Calibri" w:hAnsi="Calibri"/>
                    </w:rPr>
                    <w:t>397</w:t>
                  </w:r>
                </w:p>
              </w:tc>
              <w:tc>
                <w:tcPr>
                  <w:tcW w:w="664" w:type="pct"/>
                  <w:tcBorders>
                    <w:top w:val="single" w:sz="4" w:space="0" w:color="auto"/>
                    <w:left w:val="single" w:sz="4" w:space="0" w:color="auto"/>
                    <w:bottom w:val="single" w:sz="4" w:space="0" w:color="auto"/>
                    <w:right w:val="single" w:sz="4" w:space="0" w:color="auto"/>
                  </w:tcBorders>
                </w:tcPr>
                <w:p w14:paraId="6F58141C" w14:textId="73751ECB" w:rsidR="005D402E" w:rsidRPr="00750CA9" w:rsidRDefault="005D402E" w:rsidP="008428EC">
                  <w:pPr>
                    <w:jc w:val="center"/>
                    <w:rPr>
                      <w:rFonts w:ascii="Calibri" w:hAnsi="Calibri"/>
                    </w:rPr>
                  </w:pPr>
                  <w:r w:rsidRPr="00750CA9">
                    <w:rPr>
                      <w:rFonts w:ascii="Calibri" w:hAnsi="Calibri"/>
                    </w:rPr>
                    <w:t>809</w:t>
                  </w:r>
                </w:p>
              </w:tc>
              <w:tc>
                <w:tcPr>
                  <w:tcW w:w="791" w:type="pct"/>
                  <w:tcBorders>
                    <w:top w:val="single" w:sz="4" w:space="0" w:color="auto"/>
                    <w:left w:val="single" w:sz="4" w:space="0" w:color="auto"/>
                    <w:bottom w:val="single" w:sz="4" w:space="0" w:color="auto"/>
                    <w:right w:val="single" w:sz="4" w:space="0" w:color="auto"/>
                  </w:tcBorders>
                  <w:hideMark/>
                </w:tcPr>
                <w:p w14:paraId="3A923191" w14:textId="40C56247" w:rsidR="005D402E" w:rsidRPr="00750CA9" w:rsidRDefault="005D402E" w:rsidP="00750CA9">
                  <w:pPr>
                    <w:jc w:val="center"/>
                    <w:rPr>
                      <w:rFonts w:ascii="Calibri" w:hAnsi="Calibri"/>
                    </w:rPr>
                  </w:pPr>
                  <w:r w:rsidRPr="00750CA9">
                    <w:rPr>
                      <w:rFonts w:ascii="Calibri" w:hAnsi="Calibri"/>
                    </w:rPr>
                    <w:t>43 327</w:t>
                  </w:r>
                </w:p>
              </w:tc>
            </w:tr>
            <w:tr w:rsidR="00032E07" w:rsidRPr="00992108" w14:paraId="6E34E5FE" w14:textId="77777777" w:rsidTr="00750CA9">
              <w:tc>
                <w:tcPr>
                  <w:tcW w:w="1190" w:type="pct"/>
                  <w:tcBorders>
                    <w:top w:val="single" w:sz="4" w:space="0" w:color="auto"/>
                    <w:left w:val="single" w:sz="4" w:space="0" w:color="auto"/>
                    <w:bottom w:val="single" w:sz="4" w:space="0" w:color="auto"/>
                    <w:right w:val="single" w:sz="4" w:space="0" w:color="auto"/>
                  </w:tcBorders>
                  <w:hideMark/>
                </w:tcPr>
                <w:p w14:paraId="53B9AEEA" w14:textId="77777777" w:rsidR="00032E07" w:rsidRPr="00E80CEF" w:rsidRDefault="00032E07" w:rsidP="00842A92">
                  <w:pPr>
                    <w:jc w:val="both"/>
                    <w:rPr>
                      <w:rFonts w:ascii="Calibri" w:hAnsi="Calibri"/>
                      <w:b/>
                    </w:rPr>
                  </w:pPr>
                  <w:r w:rsidRPr="00E80CEF">
                    <w:rPr>
                      <w:rFonts w:ascii="Calibri" w:hAnsi="Calibri"/>
                      <w:b/>
                    </w:rPr>
                    <w:t xml:space="preserve">Prévalence du VIH (%) </w:t>
                  </w:r>
                </w:p>
              </w:tc>
              <w:tc>
                <w:tcPr>
                  <w:tcW w:w="554" w:type="pct"/>
                  <w:tcBorders>
                    <w:top w:val="single" w:sz="4" w:space="0" w:color="auto"/>
                    <w:left w:val="single" w:sz="4" w:space="0" w:color="auto"/>
                    <w:bottom w:val="single" w:sz="4" w:space="0" w:color="auto"/>
                    <w:right w:val="single" w:sz="4" w:space="0" w:color="auto"/>
                  </w:tcBorders>
                  <w:hideMark/>
                </w:tcPr>
                <w:p w14:paraId="157839A7" w14:textId="0DA4CE43" w:rsidR="00032E07" w:rsidRPr="00750CA9" w:rsidRDefault="00032E07" w:rsidP="00750CA9">
                  <w:pPr>
                    <w:jc w:val="center"/>
                    <w:rPr>
                      <w:rFonts w:ascii="Calibri" w:hAnsi="Calibri"/>
                    </w:rPr>
                  </w:pPr>
                  <w:r w:rsidRPr="00750CA9">
                    <w:rPr>
                      <w:rFonts w:ascii="Calibri" w:hAnsi="Calibri"/>
                    </w:rPr>
                    <w:t>12,6%</w:t>
                  </w:r>
                </w:p>
              </w:tc>
              <w:tc>
                <w:tcPr>
                  <w:tcW w:w="599" w:type="pct"/>
                  <w:tcBorders>
                    <w:top w:val="single" w:sz="4" w:space="0" w:color="auto"/>
                    <w:left w:val="single" w:sz="4" w:space="0" w:color="auto"/>
                    <w:bottom w:val="single" w:sz="4" w:space="0" w:color="auto"/>
                    <w:right w:val="single" w:sz="4" w:space="0" w:color="auto"/>
                  </w:tcBorders>
                  <w:hideMark/>
                </w:tcPr>
                <w:p w14:paraId="40486BB3" w14:textId="06899671" w:rsidR="00032E07" w:rsidRPr="00750CA9" w:rsidRDefault="00032E07" w:rsidP="00750CA9">
                  <w:pPr>
                    <w:jc w:val="center"/>
                    <w:rPr>
                      <w:rFonts w:ascii="Calibri" w:hAnsi="Calibri"/>
                    </w:rPr>
                  </w:pPr>
                  <w:r w:rsidRPr="00750CA9">
                    <w:rPr>
                      <w:rFonts w:ascii="Calibri" w:hAnsi="Calibri"/>
                    </w:rPr>
                    <w:t>11,57%</w:t>
                  </w:r>
                </w:p>
              </w:tc>
              <w:tc>
                <w:tcPr>
                  <w:tcW w:w="647" w:type="pct"/>
                  <w:tcBorders>
                    <w:top w:val="single" w:sz="4" w:space="0" w:color="auto"/>
                    <w:left w:val="single" w:sz="4" w:space="0" w:color="auto"/>
                    <w:bottom w:val="single" w:sz="4" w:space="0" w:color="auto"/>
                    <w:right w:val="single" w:sz="4" w:space="0" w:color="auto"/>
                  </w:tcBorders>
                  <w:hideMark/>
                </w:tcPr>
                <w:p w14:paraId="2D58548A" w14:textId="36F2F760" w:rsidR="00032E07" w:rsidRPr="00750CA9" w:rsidRDefault="008428EC" w:rsidP="008428EC">
                  <w:pPr>
                    <w:jc w:val="center"/>
                    <w:rPr>
                      <w:rFonts w:ascii="Calibri" w:hAnsi="Calibri"/>
                    </w:rPr>
                  </w:pPr>
                  <w:r w:rsidRPr="00750CA9">
                    <w:rPr>
                      <w:rFonts w:ascii="Calibri" w:hAnsi="Calibri"/>
                    </w:rPr>
                    <w:t>3,4</w:t>
                  </w:r>
                  <w:r w:rsidR="00032E07" w:rsidRPr="00750CA9">
                    <w:rPr>
                      <w:rFonts w:ascii="Calibri" w:hAnsi="Calibri"/>
                    </w:rPr>
                    <w:t>%</w:t>
                  </w:r>
                </w:p>
              </w:tc>
              <w:tc>
                <w:tcPr>
                  <w:tcW w:w="555" w:type="pct"/>
                  <w:tcBorders>
                    <w:top w:val="single" w:sz="4" w:space="0" w:color="auto"/>
                    <w:left w:val="single" w:sz="4" w:space="0" w:color="auto"/>
                    <w:bottom w:val="single" w:sz="4" w:space="0" w:color="auto"/>
                    <w:right w:val="single" w:sz="4" w:space="0" w:color="auto"/>
                  </w:tcBorders>
                </w:tcPr>
                <w:p w14:paraId="26A30CF0" w14:textId="1AF79F0F" w:rsidR="00032E07" w:rsidRPr="00750CA9" w:rsidRDefault="00032E07" w:rsidP="008428EC">
                  <w:pPr>
                    <w:jc w:val="center"/>
                    <w:rPr>
                      <w:rFonts w:ascii="Calibri" w:hAnsi="Calibri"/>
                    </w:rPr>
                  </w:pPr>
                  <w:r w:rsidRPr="00750CA9">
                    <w:rPr>
                      <w:rFonts w:ascii="Calibri" w:hAnsi="Calibri"/>
                    </w:rPr>
                    <w:t>6%</w:t>
                  </w:r>
                </w:p>
              </w:tc>
              <w:tc>
                <w:tcPr>
                  <w:tcW w:w="664" w:type="pct"/>
                  <w:tcBorders>
                    <w:top w:val="single" w:sz="4" w:space="0" w:color="auto"/>
                    <w:left w:val="single" w:sz="4" w:space="0" w:color="auto"/>
                    <w:bottom w:val="single" w:sz="4" w:space="0" w:color="auto"/>
                    <w:right w:val="single" w:sz="4" w:space="0" w:color="auto"/>
                  </w:tcBorders>
                </w:tcPr>
                <w:p w14:paraId="24C0A781" w14:textId="675D2612" w:rsidR="00032E07" w:rsidRPr="00750CA9" w:rsidRDefault="00032E07" w:rsidP="008428EC">
                  <w:pPr>
                    <w:jc w:val="center"/>
                    <w:rPr>
                      <w:rFonts w:ascii="Calibri" w:hAnsi="Calibri"/>
                    </w:rPr>
                  </w:pPr>
                  <w:r w:rsidRPr="00750CA9">
                    <w:rPr>
                      <w:rFonts w:ascii="Calibri" w:hAnsi="Calibri"/>
                    </w:rPr>
                    <w:t>22,6%</w:t>
                  </w:r>
                </w:p>
              </w:tc>
              <w:tc>
                <w:tcPr>
                  <w:tcW w:w="791" w:type="pct"/>
                  <w:tcBorders>
                    <w:top w:val="single" w:sz="4" w:space="0" w:color="auto"/>
                    <w:left w:val="single" w:sz="4" w:space="0" w:color="auto"/>
                    <w:bottom w:val="single" w:sz="4" w:space="0" w:color="auto"/>
                    <w:right w:val="single" w:sz="4" w:space="0" w:color="auto"/>
                  </w:tcBorders>
                  <w:hideMark/>
                </w:tcPr>
                <w:p w14:paraId="1DB61AF5" w14:textId="7B8A6324" w:rsidR="00032E07" w:rsidRPr="00750CA9" w:rsidRDefault="00032E07" w:rsidP="00750CA9">
                  <w:pPr>
                    <w:jc w:val="center"/>
                    <w:rPr>
                      <w:rFonts w:ascii="Calibri" w:hAnsi="Calibri"/>
                    </w:rPr>
                  </w:pPr>
                  <w:r w:rsidRPr="00750CA9">
                    <w:rPr>
                      <w:rFonts w:ascii="Calibri" w:hAnsi="Calibri"/>
                    </w:rPr>
                    <w:t>2,6%</w:t>
                  </w:r>
                </w:p>
              </w:tc>
            </w:tr>
          </w:tbl>
          <w:p w14:paraId="49C85FA5" w14:textId="6FF4998D" w:rsidR="00581CCB" w:rsidRPr="00390EA4" w:rsidRDefault="000F1326" w:rsidP="00842A92">
            <w:pPr>
              <w:pStyle w:val="bulletJBGS"/>
              <w:numPr>
                <w:ilvl w:val="0"/>
                <w:numId w:val="0"/>
              </w:numPr>
              <w:jc w:val="both"/>
              <w:rPr>
                <w:color w:val="auto"/>
                <w:sz w:val="16"/>
                <w:lang w:val="fr-FR"/>
              </w:rPr>
            </w:pPr>
            <w:r w:rsidRPr="00750CA9">
              <w:rPr>
                <w:i w:val="0"/>
                <w:smallCaps/>
                <w:color w:val="auto"/>
                <w:sz w:val="16"/>
              </w:rPr>
              <w:t xml:space="preserve">Tableau </w:t>
            </w:r>
            <w:r w:rsidRPr="000525BF">
              <w:rPr>
                <w:bCs/>
                <w:i w:val="0"/>
                <w:smallCaps/>
                <w:color w:val="auto"/>
                <w:sz w:val="16"/>
                <w:szCs w:val="22"/>
              </w:rPr>
              <w:fldChar w:fldCharType="begin"/>
            </w:r>
            <w:r w:rsidRPr="000525BF">
              <w:rPr>
                <w:bCs/>
                <w:i w:val="0"/>
                <w:smallCaps/>
                <w:color w:val="auto"/>
                <w:sz w:val="16"/>
                <w:szCs w:val="22"/>
              </w:rPr>
              <w:instrText xml:space="preserve"> SEQ Graphique \* ARABIC </w:instrText>
            </w:r>
            <w:r w:rsidRPr="000525BF">
              <w:rPr>
                <w:bCs/>
                <w:i w:val="0"/>
                <w:smallCaps/>
                <w:color w:val="auto"/>
                <w:sz w:val="16"/>
                <w:szCs w:val="22"/>
              </w:rPr>
              <w:fldChar w:fldCharType="separate"/>
            </w:r>
            <w:r>
              <w:rPr>
                <w:bCs/>
                <w:i w:val="0"/>
                <w:smallCaps/>
                <w:noProof/>
                <w:color w:val="auto"/>
                <w:sz w:val="16"/>
                <w:szCs w:val="22"/>
              </w:rPr>
              <w:t>2</w:t>
            </w:r>
            <w:r w:rsidRPr="000525BF">
              <w:rPr>
                <w:bCs/>
                <w:i w:val="0"/>
                <w:smallCaps/>
                <w:color w:val="auto"/>
                <w:sz w:val="16"/>
                <w:szCs w:val="22"/>
              </w:rPr>
              <w:fldChar w:fldCharType="end"/>
            </w:r>
            <w:r w:rsidR="00516FA6" w:rsidRPr="00750CA9">
              <w:rPr>
                <w:rStyle w:val="SubtleReference"/>
                <w:smallCaps w:val="0"/>
                <w:color w:val="828282" w:themeColor="text1" w:themeTint="A6"/>
                <w:u w:val="none"/>
              </w:rPr>
              <w:t xml:space="preserve"> : </w:t>
            </w:r>
            <w:r w:rsidR="00581CCB" w:rsidRPr="00390EA4">
              <w:rPr>
                <w:color w:val="auto"/>
                <w:sz w:val="16"/>
                <w:lang w:val="fr-FR"/>
              </w:rPr>
              <w:t xml:space="preserve">Estimation des tailles des populations </w:t>
            </w:r>
            <w:r w:rsidR="00032E07">
              <w:rPr>
                <w:color w:val="auto"/>
                <w:sz w:val="16"/>
                <w:lang w:val="fr-FR"/>
              </w:rPr>
              <w:t>clés</w:t>
            </w:r>
            <w:r w:rsidR="00581CCB" w:rsidRPr="00390EA4">
              <w:rPr>
                <w:color w:val="auto"/>
                <w:sz w:val="16"/>
                <w:lang w:val="fr-FR"/>
              </w:rPr>
              <w:t xml:space="preserve"> </w:t>
            </w:r>
            <w:r w:rsidR="00032E07">
              <w:rPr>
                <w:color w:val="auto"/>
                <w:sz w:val="16"/>
                <w:lang w:val="fr-FR"/>
              </w:rPr>
              <w:t xml:space="preserve">et </w:t>
            </w:r>
            <w:r w:rsidR="00032E07" w:rsidRPr="00390EA4">
              <w:rPr>
                <w:color w:val="auto"/>
                <w:sz w:val="16"/>
                <w:lang w:val="fr-FR"/>
              </w:rPr>
              <w:t xml:space="preserve">prévalences du VIH </w:t>
            </w:r>
            <w:r w:rsidR="00581CCB" w:rsidRPr="00390EA4">
              <w:rPr>
                <w:color w:val="auto"/>
                <w:sz w:val="16"/>
                <w:lang w:val="fr-FR"/>
              </w:rPr>
              <w:t>en 2019 (</w:t>
            </w:r>
            <w:r w:rsidR="00032E07">
              <w:rPr>
                <w:color w:val="auto"/>
                <w:sz w:val="16"/>
                <w:lang w:val="fr-FR"/>
              </w:rPr>
              <w:t>cf.</w:t>
            </w:r>
            <w:r w:rsidR="00B07FA0">
              <w:rPr>
                <w:color w:val="auto"/>
                <w:sz w:val="16"/>
                <w:lang w:val="fr-FR"/>
              </w:rPr>
              <w:t> : « </w:t>
            </w:r>
            <w:r w:rsidR="00011C83">
              <w:rPr>
                <w:color w:val="auto"/>
                <w:sz w:val="16"/>
                <w:lang w:val="fr-FR"/>
              </w:rPr>
              <w:t>N</w:t>
            </w:r>
            <w:r w:rsidR="00B07FA0">
              <w:rPr>
                <w:color w:val="auto"/>
                <w:sz w:val="16"/>
                <w:lang w:val="fr-FR"/>
              </w:rPr>
              <w:t xml:space="preserve">ote technique estimation taille </w:t>
            </w:r>
            <w:proofErr w:type="spellStart"/>
            <w:r w:rsidR="00B07FA0">
              <w:rPr>
                <w:color w:val="auto"/>
                <w:sz w:val="16"/>
                <w:lang w:val="fr-FR"/>
              </w:rPr>
              <w:t>KP</w:t>
            </w:r>
            <w:r w:rsidR="00011C83">
              <w:rPr>
                <w:color w:val="auto"/>
                <w:sz w:val="16"/>
                <w:lang w:val="fr-FR"/>
              </w:rPr>
              <w:t>s</w:t>
            </w:r>
            <w:proofErr w:type="spellEnd"/>
            <w:r w:rsidR="00B07FA0">
              <w:rPr>
                <w:color w:val="auto"/>
                <w:sz w:val="16"/>
                <w:lang w:val="fr-FR"/>
              </w:rPr>
              <w:t> »</w:t>
            </w:r>
            <w:r w:rsidR="00EA393B">
              <w:rPr>
                <w:color w:val="auto"/>
                <w:sz w:val="16"/>
                <w:lang w:val="fr-FR"/>
              </w:rPr>
              <w:t xml:space="preserve"> Annexe</w:t>
            </w:r>
            <w:r w:rsidR="00496184">
              <w:rPr>
                <w:color w:val="auto"/>
                <w:sz w:val="16"/>
                <w:lang w:val="fr-FR"/>
              </w:rPr>
              <w:t xml:space="preserve"> 8</w:t>
            </w:r>
            <w:r w:rsidR="00FE51CE">
              <w:rPr>
                <w:color w:val="auto"/>
                <w:sz w:val="16"/>
                <w:lang w:val="fr-FR"/>
              </w:rPr>
              <w:t>)</w:t>
            </w:r>
          </w:p>
          <w:p w14:paraId="3A68E851" w14:textId="435AA779" w:rsidR="00581CCB" w:rsidRDefault="00581CCB" w:rsidP="002E4BAA">
            <w:pPr>
              <w:pStyle w:val="Texteformulaire"/>
              <w:rPr>
                <w:lang w:val="fr-FR"/>
              </w:rPr>
            </w:pPr>
            <w:r w:rsidRPr="00390EA4">
              <w:rPr>
                <w:lang w:val="fr-FR"/>
              </w:rPr>
              <w:t>Bien que la lutte contre les IST et le VIH/sida se fonde sur une approche multisectorielle, décentralisée et visant une implication de toutes les parties prenantes, il persiste cependant des obstacles liés aux droits humains entravant l’accès aux services VIH. Deux études (</w:t>
            </w:r>
            <w:r w:rsidR="00EA393B" w:rsidRPr="00EA393B">
              <w:rPr>
                <w:i/>
                <w:iCs/>
                <w:lang w:val="fr-FR"/>
              </w:rPr>
              <w:t xml:space="preserve">Annexes </w:t>
            </w:r>
            <w:r w:rsidR="00496184">
              <w:rPr>
                <w:i/>
                <w:iCs/>
                <w:lang w:val="fr-FR"/>
              </w:rPr>
              <w:t>9</w:t>
            </w:r>
            <w:r w:rsidR="00EA393B" w:rsidRPr="00EA393B">
              <w:rPr>
                <w:i/>
                <w:iCs/>
                <w:lang w:val="fr-FR"/>
              </w:rPr>
              <w:t xml:space="preserve"> et </w:t>
            </w:r>
            <w:r w:rsidR="00496184">
              <w:rPr>
                <w:i/>
                <w:iCs/>
                <w:lang w:val="fr-FR"/>
              </w:rPr>
              <w:t>10</w:t>
            </w:r>
            <w:r w:rsidRPr="00390EA4">
              <w:rPr>
                <w:lang w:val="fr-FR"/>
              </w:rPr>
              <w:t>) en 2018</w:t>
            </w:r>
            <w:r w:rsidR="00F30655">
              <w:rPr>
                <w:lang w:val="fr-FR"/>
              </w:rPr>
              <w:t xml:space="preserve"> </w:t>
            </w:r>
            <w:r w:rsidRPr="00390EA4">
              <w:rPr>
                <w:lang w:val="fr-FR"/>
              </w:rPr>
              <w:t xml:space="preserve">ont mis en lumière ces obstacles parmi </w:t>
            </w:r>
            <w:proofErr w:type="spellStart"/>
            <w:r w:rsidRPr="00390EA4">
              <w:rPr>
                <w:lang w:val="fr-FR"/>
              </w:rPr>
              <w:t>lesques</w:t>
            </w:r>
            <w:proofErr w:type="spellEnd"/>
            <w:r w:rsidRPr="00390EA4">
              <w:rPr>
                <w:lang w:val="fr-FR"/>
              </w:rPr>
              <w:t xml:space="preserve"> les attitudes stigmatisantes et discriminantes à l’endroit des populations clés</w:t>
            </w:r>
            <w:r w:rsidR="00105E47">
              <w:rPr>
                <w:lang w:val="fr-FR"/>
              </w:rPr>
              <w:t>.</w:t>
            </w:r>
            <w:r w:rsidRPr="00390EA4">
              <w:rPr>
                <w:lang w:val="fr-FR"/>
              </w:rPr>
              <w:t xml:space="preserve"> La réduction de ces obstacles permettrait d'améliorer l'efficacité des ripostes nationales de la Côte d'Ivoire au VIH.</w:t>
            </w:r>
          </w:p>
          <w:p w14:paraId="3DB15074" w14:textId="12DF43D3" w:rsidR="00381FBB" w:rsidRPr="00750CA9" w:rsidRDefault="00DC3843">
            <w:pPr>
              <w:pStyle w:val="Texteformulaire"/>
            </w:pPr>
            <w:proofErr w:type="spellStart"/>
            <w:r>
              <w:t>Parmi</w:t>
            </w:r>
            <w:proofErr w:type="spellEnd"/>
            <w:r>
              <w:t xml:space="preserve"> les </w:t>
            </w:r>
            <w:proofErr w:type="spellStart"/>
            <w:r>
              <w:t>autres</w:t>
            </w:r>
            <w:proofErr w:type="spellEnd"/>
            <w:r>
              <w:t xml:space="preserve"> populations </w:t>
            </w:r>
            <w:proofErr w:type="spellStart"/>
            <w:r>
              <w:t>vulnérables</w:t>
            </w:r>
            <w:proofErr w:type="spellEnd"/>
            <w:r>
              <w:t xml:space="preserve">, on </w:t>
            </w:r>
            <w:proofErr w:type="spellStart"/>
            <w:r>
              <w:t>compte</w:t>
            </w:r>
            <w:proofErr w:type="spellEnd"/>
            <w:r>
              <w:t xml:space="preserve"> </w:t>
            </w:r>
            <w:r w:rsidR="00381FBB">
              <w:t xml:space="preserve">les </w:t>
            </w:r>
            <w:proofErr w:type="spellStart"/>
            <w:r w:rsidR="00381FBB">
              <w:t>personnes</w:t>
            </w:r>
            <w:proofErr w:type="spellEnd"/>
            <w:r w:rsidR="00381FBB">
              <w:t xml:space="preserve"> </w:t>
            </w:r>
            <w:proofErr w:type="spellStart"/>
            <w:r w:rsidR="00381FBB">
              <w:t>en</w:t>
            </w:r>
            <w:proofErr w:type="spellEnd"/>
            <w:r w:rsidR="00381FBB">
              <w:t xml:space="preserve"> situation de handicap (PSH),</w:t>
            </w:r>
            <w:r>
              <w:t xml:space="preserve"> </w:t>
            </w:r>
            <w:proofErr w:type="spellStart"/>
            <w:r>
              <w:t>dont</w:t>
            </w:r>
            <w:proofErr w:type="spellEnd"/>
            <w:r>
              <w:t xml:space="preserve"> </w:t>
            </w:r>
            <w:proofErr w:type="spellStart"/>
            <w:r>
              <w:t>une</w:t>
            </w:r>
            <w:proofErr w:type="spellEnd"/>
            <w:r>
              <w:t xml:space="preserve"> </w:t>
            </w:r>
            <w:proofErr w:type="spellStart"/>
            <w:r>
              <w:t>récente</w:t>
            </w:r>
            <w:proofErr w:type="spellEnd"/>
            <w:r>
              <w:t xml:space="preserve"> étude a </w:t>
            </w:r>
            <w:proofErr w:type="spellStart"/>
            <w:r>
              <w:t>montré</w:t>
            </w:r>
            <w:proofErr w:type="spellEnd"/>
            <w:r>
              <w:t xml:space="preserve"> un</w:t>
            </w:r>
            <w:r w:rsidR="00381FBB">
              <w:t xml:space="preserve"> </w:t>
            </w:r>
            <w:proofErr w:type="spellStart"/>
            <w:r w:rsidR="00381FBB">
              <w:t>taux</w:t>
            </w:r>
            <w:proofErr w:type="spellEnd"/>
            <w:r w:rsidR="00381FBB">
              <w:t xml:space="preserve"> de </w:t>
            </w:r>
            <w:proofErr w:type="spellStart"/>
            <w:r w:rsidR="00381FBB">
              <w:t>séropositivité</w:t>
            </w:r>
            <w:proofErr w:type="spellEnd"/>
            <w:r w:rsidR="00381FBB">
              <w:t xml:space="preserve"> du VIH de </w:t>
            </w:r>
            <w:r w:rsidR="00381FBB" w:rsidRPr="005713F5">
              <w:rPr>
                <w:color w:val="FF0000"/>
              </w:rPr>
              <w:t>2,</w:t>
            </w:r>
            <w:r w:rsidR="005713F5" w:rsidRPr="005713F5">
              <w:rPr>
                <w:color w:val="FF0000"/>
              </w:rPr>
              <w:t>8</w:t>
            </w:r>
            <w:r w:rsidR="00381FBB" w:rsidRPr="005713F5">
              <w:rPr>
                <w:color w:val="FF0000"/>
              </w:rPr>
              <w:t xml:space="preserve">% </w:t>
            </w:r>
            <w:proofErr w:type="spellStart"/>
            <w:r w:rsidR="00381FBB">
              <w:t>parmi</w:t>
            </w:r>
            <w:proofErr w:type="spellEnd"/>
            <w:r w:rsidR="00381FBB">
              <w:t xml:space="preserve"> les 451 PSH </w:t>
            </w:r>
            <w:proofErr w:type="spellStart"/>
            <w:r w:rsidR="00381FBB">
              <w:t>enquêtées</w:t>
            </w:r>
            <w:proofErr w:type="spellEnd"/>
            <w:r>
              <w:t xml:space="preserve"> </w:t>
            </w:r>
            <w:r w:rsidRPr="00496184">
              <w:rPr>
                <w:i/>
                <w:iCs/>
              </w:rPr>
              <w:t>(</w:t>
            </w:r>
            <w:proofErr w:type="spellStart"/>
            <w:r w:rsidR="00F30655" w:rsidRPr="00496184">
              <w:rPr>
                <w:i/>
                <w:iCs/>
              </w:rPr>
              <w:t>Annexe</w:t>
            </w:r>
            <w:proofErr w:type="spellEnd"/>
            <w:r w:rsidR="00F30655" w:rsidRPr="00496184">
              <w:rPr>
                <w:i/>
                <w:iCs/>
              </w:rPr>
              <w:t xml:space="preserve"> 10</w:t>
            </w:r>
            <w:r w:rsidR="00496184" w:rsidRPr="00496184">
              <w:rPr>
                <w:i/>
                <w:iCs/>
              </w:rPr>
              <w:t>)</w:t>
            </w:r>
            <w:r w:rsidRPr="00496184">
              <w:rPr>
                <w:i/>
                <w:iCs/>
              </w:rPr>
              <w:t>.</w:t>
            </w:r>
            <w:r w:rsidRPr="00496184">
              <w:t xml:space="preserve"> </w:t>
            </w:r>
            <w:proofErr w:type="spellStart"/>
            <w:r>
              <w:t>En</w:t>
            </w:r>
            <w:proofErr w:type="spellEnd"/>
            <w:r>
              <w:t xml:space="preserve"> 2014, </w:t>
            </w:r>
            <w:proofErr w:type="spellStart"/>
            <w:r>
              <w:t>l’enquête</w:t>
            </w:r>
            <w:proofErr w:type="spellEnd"/>
            <w:r>
              <w:t xml:space="preserve"> Sabers a </w:t>
            </w:r>
            <w:proofErr w:type="spellStart"/>
            <w:r>
              <w:t>montré</w:t>
            </w:r>
            <w:proofErr w:type="spellEnd"/>
            <w:r>
              <w:t xml:space="preserve"> </w:t>
            </w:r>
            <w:r w:rsidRPr="009954DA">
              <w:rPr>
                <w:color w:val="FF0000"/>
              </w:rPr>
              <w:t>3,</w:t>
            </w:r>
            <w:r w:rsidR="009954DA" w:rsidRPr="009954DA">
              <w:rPr>
                <w:color w:val="FF0000"/>
              </w:rPr>
              <w:t>4</w:t>
            </w:r>
            <w:r w:rsidRPr="009954DA">
              <w:rPr>
                <w:color w:val="FF0000"/>
              </w:rPr>
              <w:t xml:space="preserve">% </w:t>
            </w:r>
            <w:proofErr w:type="spellStart"/>
            <w:r>
              <w:t>parmi</w:t>
            </w:r>
            <w:proofErr w:type="spellEnd"/>
            <w:r>
              <w:t xml:space="preserve"> les </w:t>
            </w:r>
            <w:proofErr w:type="spellStart"/>
            <w:r>
              <w:t>personnes</w:t>
            </w:r>
            <w:proofErr w:type="spellEnd"/>
            <w:r>
              <w:t xml:space="preserve"> </w:t>
            </w:r>
            <w:proofErr w:type="spellStart"/>
            <w:r>
              <w:t>en</w:t>
            </w:r>
            <w:proofErr w:type="spellEnd"/>
            <w:r>
              <w:t xml:space="preserve"> </w:t>
            </w:r>
            <w:proofErr w:type="spellStart"/>
            <w:r>
              <w:t>uniforme</w:t>
            </w:r>
            <w:proofErr w:type="spellEnd"/>
            <w:r>
              <w:t xml:space="preserve"> (gendarmes et </w:t>
            </w:r>
            <w:proofErr w:type="spellStart"/>
            <w:r>
              <w:t>militaires</w:t>
            </w:r>
            <w:proofErr w:type="spellEnd"/>
            <w:r>
              <w:t xml:space="preserve">), </w:t>
            </w:r>
            <w:proofErr w:type="spellStart"/>
            <w:r>
              <w:t>mais</w:t>
            </w:r>
            <w:proofErr w:type="spellEnd"/>
            <w:r>
              <w:t xml:space="preserve"> les </w:t>
            </w:r>
            <w:proofErr w:type="spellStart"/>
            <w:r>
              <w:t>données</w:t>
            </w:r>
            <w:proofErr w:type="spellEnd"/>
            <w:r>
              <w:t xml:space="preserve"> de </w:t>
            </w:r>
            <w:proofErr w:type="spellStart"/>
            <w:r>
              <w:t>prévalence</w:t>
            </w:r>
            <w:proofErr w:type="spellEnd"/>
            <w:r>
              <w:t xml:space="preserve"> chez les clients de TS ne </w:t>
            </w:r>
            <w:proofErr w:type="spellStart"/>
            <w:r>
              <w:t>sont</w:t>
            </w:r>
            <w:proofErr w:type="spellEnd"/>
            <w:r>
              <w:t xml:space="preserve"> pas </w:t>
            </w:r>
            <w:proofErr w:type="spellStart"/>
            <w:r>
              <w:t>disponibles</w:t>
            </w:r>
            <w:proofErr w:type="spellEnd"/>
            <w:r>
              <w:t>.</w:t>
            </w:r>
          </w:p>
          <w:p w14:paraId="2A3B91CB" w14:textId="3B084D7D" w:rsidR="005D402E" w:rsidRDefault="00530A39" w:rsidP="00530A39">
            <w:pPr>
              <w:pStyle w:val="Texteformulaire"/>
              <w:rPr>
                <w:lang w:val="fr-FR"/>
              </w:rPr>
            </w:pPr>
            <w:bookmarkStart w:id="8" w:name="_Toc38625512"/>
            <w:r w:rsidRPr="000525BF">
              <w:rPr>
                <w:b/>
                <w:bCs/>
                <w:i/>
                <w:iCs/>
                <w:noProof/>
                <w:lang w:val="fr-FR" w:eastAsia="fr-FR"/>
              </w:rPr>
              <w:drawing>
                <wp:anchor distT="0" distB="0" distL="114300" distR="114300" simplePos="0" relativeHeight="251658241" behindDoc="1" locked="0" layoutInCell="1" allowOverlap="1" wp14:anchorId="27D1009F" wp14:editId="2B4CFCE7">
                  <wp:simplePos x="0" y="0"/>
                  <wp:positionH relativeFrom="column">
                    <wp:posOffset>3597910</wp:posOffset>
                  </wp:positionH>
                  <wp:positionV relativeFrom="paragraph">
                    <wp:posOffset>191135</wp:posOffset>
                  </wp:positionV>
                  <wp:extent cx="2882900" cy="2145665"/>
                  <wp:effectExtent l="0" t="0" r="0" b="6985"/>
                  <wp:wrapTight wrapText="bothSides">
                    <wp:wrapPolygon edited="0">
                      <wp:start x="0" y="0"/>
                      <wp:lineTo x="0" y="21479"/>
                      <wp:lineTo x="21410" y="21479"/>
                      <wp:lineTo x="21410"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2900" cy="2145665"/>
                          </a:xfrm>
                          <a:prstGeom prst="rect">
                            <a:avLst/>
                          </a:prstGeom>
                          <a:noFill/>
                        </pic:spPr>
                      </pic:pic>
                    </a:graphicData>
                  </a:graphic>
                  <wp14:sizeRelH relativeFrom="margin">
                    <wp14:pctWidth>0</wp14:pctWidth>
                  </wp14:sizeRelH>
                  <wp14:sizeRelV relativeFrom="margin">
                    <wp14:pctHeight>0</wp14:pctHeight>
                  </wp14:sizeRelV>
                </wp:anchor>
              </w:drawing>
            </w:r>
            <w:bookmarkEnd w:id="8"/>
            <w:r w:rsidR="002E4BAA" w:rsidRPr="00750CA9">
              <w:rPr>
                <w:b/>
                <w:i/>
                <w:lang w:val="fr-FR"/>
              </w:rPr>
              <w:t>Enfants, ado</w:t>
            </w:r>
            <w:r w:rsidR="00F30655">
              <w:rPr>
                <w:b/>
                <w:i/>
                <w:lang w:val="fr-FR"/>
              </w:rPr>
              <w:t>lescents</w:t>
            </w:r>
            <w:r w:rsidR="002E4BAA" w:rsidRPr="00750CA9">
              <w:rPr>
                <w:b/>
                <w:i/>
                <w:lang w:val="fr-FR"/>
              </w:rPr>
              <w:t xml:space="preserve"> et jeunes</w:t>
            </w:r>
            <w:r w:rsidR="002E4BAA" w:rsidRPr="00390EA4">
              <w:rPr>
                <w:lang w:val="fr-FR"/>
              </w:rPr>
              <w:t xml:space="preserve"> : </w:t>
            </w:r>
          </w:p>
          <w:p w14:paraId="48F7FFE6" w14:textId="2053EB70" w:rsidR="002E4BAA" w:rsidRPr="00390EA4" w:rsidRDefault="00581CCB" w:rsidP="00390EA4">
            <w:pPr>
              <w:pStyle w:val="Texteformulaire"/>
              <w:rPr>
                <w:lang w:val="fr-FR"/>
              </w:rPr>
            </w:pPr>
            <w:r w:rsidRPr="00750CA9">
              <w:rPr>
                <w:lang w:val="fr-FR"/>
              </w:rPr>
              <w:t xml:space="preserve">La prévalence estimée chez les enfants (0-14 ans) était de 0,3% et identique selon le sexe </w:t>
            </w:r>
            <w:r w:rsidRPr="00496184">
              <w:rPr>
                <w:i/>
                <w:iCs/>
                <w:lang w:val="fr-FR"/>
              </w:rPr>
              <w:t>(</w:t>
            </w:r>
            <w:r w:rsidR="00496184" w:rsidRPr="00496184">
              <w:rPr>
                <w:i/>
                <w:iCs/>
                <w:lang w:val="fr-FR"/>
              </w:rPr>
              <w:t>Annexe 2</w:t>
            </w:r>
            <w:r w:rsidRPr="00496184">
              <w:rPr>
                <w:i/>
                <w:iCs/>
                <w:lang w:val="fr-FR"/>
              </w:rPr>
              <w:t>)</w:t>
            </w:r>
            <w:r w:rsidRPr="00390EA4">
              <w:rPr>
                <w:lang w:val="fr-FR"/>
              </w:rPr>
              <w:t xml:space="preserve">. Le différentiel </w:t>
            </w:r>
            <w:proofErr w:type="spellStart"/>
            <w:r w:rsidRPr="00390EA4">
              <w:rPr>
                <w:lang w:val="fr-FR"/>
              </w:rPr>
              <w:t>garcon</w:t>
            </w:r>
            <w:proofErr w:type="spellEnd"/>
            <w:r w:rsidRPr="00390EA4">
              <w:rPr>
                <w:lang w:val="fr-FR"/>
              </w:rPr>
              <w:t>/fille apparait chez les 15-19 ans (0,5 chez les garçons vs 0,7% chez les filles) et s’accentue chez les 20-24 ans (prévalence 2,</w:t>
            </w:r>
            <w:r w:rsidR="002E4BAA" w:rsidRPr="00390EA4">
              <w:rPr>
                <w:lang w:val="fr-FR"/>
              </w:rPr>
              <w:t>4</w:t>
            </w:r>
            <w:r w:rsidRPr="00390EA4">
              <w:rPr>
                <w:lang w:val="fr-FR"/>
              </w:rPr>
              <w:t xml:space="preserve"> fois plus élevée chez les jeunes femmes). Les adolescents et les jeunes </w:t>
            </w:r>
            <w:r w:rsidR="00D04A11">
              <w:rPr>
                <w:lang w:val="fr-FR"/>
              </w:rPr>
              <w:t xml:space="preserve">(particulièrement de sexe féminin) </w:t>
            </w:r>
            <w:r w:rsidRPr="00390EA4">
              <w:rPr>
                <w:lang w:val="fr-FR"/>
              </w:rPr>
              <w:t>constituent une des populations vulnérables</w:t>
            </w:r>
            <w:r w:rsidR="002E4BAA" w:rsidRPr="00390EA4">
              <w:rPr>
                <w:lang w:val="fr-FR"/>
              </w:rPr>
              <w:t xml:space="preserve">, </w:t>
            </w:r>
            <w:r w:rsidR="00123AFF">
              <w:rPr>
                <w:lang w:val="fr-FR"/>
              </w:rPr>
              <w:t>mais</w:t>
            </w:r>
            <w:r w:rsidR="00123AFF" w:rsidRPr="00390EA4">
              <w:rPr>
                <w:lang w:val="fr-FR"/>
              </w:rPr>
              <w:t xml:space="preserve"> </w:t>
            </w:r>
            <w:r w:rsidRPr="00390EA4">
              <w:rPr>
                <w:lang w:val="fr-FR"/>
              </w:rPr>
              <w:t xml:space="preserve">seulement 39% des adolescents et jeunes ciblés dans le PSN </w:t>
            </w:r>
            <w:r w:rsidR="00105E47">
              <w:rPr>
                <w:lang w:val="fr-FR"/>
              </w:rPr>
              <w:t xml:space="preserve">2016-2020 </w:t>
            </w:r>
            <w:r w:rsidRPr="00390EA4">
              <w:rPr>
                <w:lang w:val="fr-FR"/>
              </w:rPr>
              <w:t>ont été touchés par les activités de CCC</w:t>
            </w:r>
            <w:r w:rsidR="00105E47">
              <w:rPr>
                <w:lang w:val="fr-FR"/>
              </w:rPr>
              <w:t xml:space="preserve"> (</w:t>
            </w:r>
            <w:r w:rsidR="00496184" w:rsidRPr="00496184">
              <w:rPr>
                <w:i/>
                <w:iCs/>
                <w:lang w:val="fr-FR"/>
              </w:rPr>
              <w:t>Annexe 1</w:t>
            </w:r>
            <w:r w:rsidR="00105E47">
              <w:rPr>
                <w:lang w:val="fr-FR"/>
              </w:rPr>
              <w:t>)</w:t>
            </w:r>
            <w:r w:rsidR="00496184">
              <w:rPr>
                <w:lang w:val="fr-FR"/>
              </w:rPr>
              <w:t>.</w:t>
            </w:r>
            <w:r w:rsidR="002E4BAA" w:rsidRPr="00390EA4">
              <w:rPr>
                <w:lang w:val="fr-FR"/>
              </w:rPr>
              <w:t xml:space="preserve"> Il est prioritaire de renforcer les activités de prévention et de prise en charge à l‘endroit des adolescents et des jeunes en lien avec les autres programmes tel les SSU-SAJ</w:t>
            </w:r>
            <w:r w:rsidR="00F457A9" w:rsidRPr="00390EA4">
              <w:rPr>
                <w:lang w:val="fr-FR"/>
              </w:rPr>
              <w:t xml:space="preserve">, OEV, </w:t>
            </w:r>
            <w:r w:rsidR="00123AFF" w:rsidRPr="00390EA4">
              <w:rPr>
                <w:lang w:val="fr-FR"/>
              </w:rPr>
              <w:t>D</w:t>
            </w:r>
            <w:r w:rsidR="00123AFF">
              <w:rPr>
                <w:lang w:val="fr-FR"/>
              </w:rPr>
              <w:t>REAMS</w:t>
            </w:r>
            <w:r w:rsidR="00F457A9" w:rsidRPr="00390EA4">
              <w:rPr>
                <w:lang w:val="fr-FR"/>
              </w:rPr>
              <w:t xml:space="preserve">, </w:t>
            </w:r>
            <w:proofErr w:type="spellStart"/>
            <w:r w:rsidR="00F457A9" w:rsidRPr="00390EA4">
              <w:rPr>
                <w:lang w:val="fr-FR"/>
              </w:rPr>
              <w:t>Ready</w:t>
            </w:r>
            <w:proofErr w:type="spellEnd"/>
            <w:r w:rsidR="00F457A9" w:rsidRPr="00390EA4">
              <w:rPr>
                <w:lang w:val="fr-FR"/>
              </w:rPr>
              <w:t>, etc</w:t>
            </w:r>
            <w:r w:rsidR="002E4BAA" w:rsidRPr="00390EA4">
              <w:rPr>
                <w:lang w:val="fr-FR"/>
              </w:rPr>
              <w:t>.</w:t>
            </w:r>
          </w:p>
          <w:p w14:paraId="0A09D39B" w14:textId="0722EEB4" w:rsidR="00581CCB" w:rsidRPr="00390EA4" w:rsidRDefault="002E4BAA" w:rsidP="002E4BAA">
            <w:pPr>
              <w:pStyle w:val="bulletJBGS"/>
              <w:numPr>
                <w:ilvl w:val="0"/>
                <w:numId w:val="0"/>
              </w:numPr>
              <w:ind w:left="643"/>
              <w:jc w:val="both"/>
              <w:rPr>
                <w:rFonts w:asciiTheme="minorHAnsi" w:hAnsiTheme="minorHAnsi"/>
                <w:b/>
                <w:i w:val="0"/>
                <w:color w:val="auto"/>
                <w:sz w:val="22"/>
                <w:lang w:val="fr-FR"/>
              </w:rPr>
            </w:pPr>
            <w:r w:rsidRPr="00390EA4">
              <w:rPr>
                <w:noProof/>
                <w:lang w:val="fr-FR" w:eastAsia="fr-FR"/>
              </w:rPr>
              <w:drawing>
                <wp:anchor distT="0" distB="0" distL="114300" distR="114300" simplePos="0" relativeHeight="251658242" behindDoc="0" locked="0" layoutInCell="1" allowOverlap="1" wp14:anchorId="24103B15" wp14:editId="05FA63C3">
                  <wp:simplePos x="0" y="0"/>
                  <wp:positionH relativeFrom="margin">
                    <wp:posOffset>33655</wp:posOffset>
                  </wp:positionH>
                  <wp:positionV relativeFrom="paragraph">
                    <wp:posOffset>50165</wp:posOffset>
                  </wp:positionV>
                  <wp:extent cx="2964180" cy="1659255"/>
                  <wp:effectExtent l="0" t="0" r="7620" b="17145"/>
                  <wp:wrapSquare wrapText="bothSides"/>
                  <wp:docPr id="16" name="Graphique 16">
                    <a:extLst xmlns:a="http://schemas.openxmlformats.org/drawingml/2006/main">
                      <a:ext uri="{FF2B5EF4-FFF2-40B4-BE49-F238E27FC236}">
                        <a16:creationId xmlns:a16="http://schemas.microsoft.com/office/drawing/2014/main" id="{B8405182-AFB8-4465-8AA0-0D3940D622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581CCB" w:rsidRPr="00390EA4">
              <w:rPr>
                <w:rFonts w:asciiTheme="minorHAnsi" w:hAnsiTheme="minorHAnsi"/>
                <w:b/>
                <w:i w:val="0"/>
                <w:color w:val="auto"/>
                <w:sz w:val="22"/>
                <w:lang w:val="fr-FR"/>
              </w:rPr>
              <w:t xml:space="preserve">Epidémie chez les femmes enceintes et TME : </w:t>
            </w:r>
          </w:p>
          <w:p w14:paraId="3A5BD366" w14:textId="5A626A29" w:rsidR="00581CCB" w:rsidRPr="00390EA4" w:rsidRDefault="00581CCB" w:rsidP="002E4BAA">
            <w:pPr>
              <w:pStyle w:val="Texteformulaire"/>
              <w:rPr>
                <w:lang w:val="fr-FR"/>
              </w:rPr>
            </w:pPr>
            <w:r w:rsidRPr="00390EA4">
              <w:rPr>
                <w:lang w:val="fr-FR"/>
              </w:rPr>
              <w:t>L’offre de services de PTME est fortement intégrée dans les formations sanitaires publiques (94% offrent ces services)</w:t>
            </w:r>
            <w:r w:rsidRPr="00390EA4">
              <w:rPr>
                <w:rFonts w:asciiTheme="minorHAnsi" w:hAnsiTheme="minorHAnsi"/>
                <w:lang w:val="fr-FR"/>
              </w:rPr>
              <w:t xml:space="preserve"> et les données du PNLS montrent une</w:t>
            </w:r>
            <w:r w:rsidR="002E4BAA" w:rsidRPr="00390EA4">
              <w:rPr>
                <w:rFonts w:asciiTheme="minorHAnsi" w:hAnsiTheme="minorHAnsi"/>
                <w:lang w:val="fr-FR"/>
              </w:rPr>
              <w:t xml:space="preserve"> </w:t>
            </w:r>
            <w:r w:rsidRPr="00390EA4">
              <w:rPr>
                <w:lang w:val="fr-FR"/>
              </w:rPr>
              <w:t>réduction constante du taux de séropositivité chez les femmes enceintes (0,7% en 2019</w:t>
            </w:r>
            <w:r w:rsidR="00105E47">
              <w:rPr>
                <w:lang w:val="fr-FR"/>
              </w:rPr>
              <w:t>) (</w:t>
            </w:r>
            <w:r w:rsidR="00496184" w:rsidRPr="00496184">
              <w:rPr>
                <w:i/>
                <w:iCs/>
                <w:lang w:val="fr-FR"/>
              </w:rPr>
              <w:t>Annexe 1</w:t>
            </w:r>
            <w:r w:rsidR="00084F75">
              <w:rPr>
                <w:i/>
                <w:iCs/>
                <w:lang w:val="fr-FR"/>
              </w:rPr>
              <w:t>2</w:t>
            </w:r>
            <w:r w:rsidR="00496184">
              <w:rPr>
                <w:lang w:val="fr-FR"/>
              </w:rPr>
              <w:t>)</w:t>
            </w:r>
            <w:r w:rsidRPr="00390EA4">
              <w:rPr>
                <w:lang w:val="fr-FR"/>
              </w:rPr>
              <w:t xml:space="preserve">. Cependant, les estimations Spectrum 2019 </w:t>
            </w:r>
            <w:r w:rsidRPr="00750CA9">
              <w:rPr>
                <w:lang w:val="fr-FR"/>
              </w:rPr>
              <w:t>montraient un nombre encore</w:t>
            </w:r>
            <w:r w:rsidR="002E4BAA" w:rsidRPr="00750CA9">
              <w:rPr>
                <w:lang w:val="fr-FR"/>
              </w:rPr>
              <w:t xml:space="preserve"> é</w:t>
            </w:r>
            <w:r w:rsidRPr="00750CA9">
              <w:rPr>
                <w:lang w:val="fr-FR"/>
              </w:rPr>
              <w:t xml:space="preserve">levé de nouvelles infections chez les 0-14 ans avec un taux de TME du VIH à </w:t>
            </w:r>
            <w:r w:rsidRPr="00750CA9">
              <w:rPr>
                <w:b/>
                <w:lang w:val="fr-FR"/>
              </w:rPr>
              <w:t>10,3 %</w:t>
            </w:r>
            <w:r w:rsidRPr="00750CA9">
              <w:rPr>
                <w:lang w:val="fr-FR"/>
              </w:rPr>
              <w:t xml:space="preserve"> en 2019 et seulement 34% des femmes enceintes sont vues en CPN1 au 1</w:t>
            </w:r>
            <w:r w:rsidRPr="00750CA9">
              <w:rPr>
                <w:vertAlign w:val="superscript"/>
                <w:lang w:val="fr-FR"/>
              </w:rPr>
              <w:t>er</w:t>
            </w:r>
            <w:r w:rsidRPr="00750CA9">
              <w:rPr>
                <w:lang w:val="fr-FR"/>
              </w:rPr>
              <w:t xml:space="preserve"> trimestre de grossesse.</w:t>
            </w:r>
            <w:r w:rsidR="006703FF" w:rsidRPr="00750CA9">
              <w:rPr>
                <w:lang w:val="fr-FR"/>
              </w:rPr>
              <w:t xml:space="preserve"> La majorité (51%) des nouvelles infections à VIH pédiatriques proviennent des femmes enceintes qui ne reçoivent pas de traitement ARV pendant la grossesse ou pendant l’allaitement (33% et 18% respectivement) et 27% proviennent des femmes qui ont été infectées pendant leur </w:t>
            </w:r>
            <w:r w:rsidR="006703FF" w:rsidRPr="006703FF">
              <w:rPr>
                <w:lang w:val="fr-FR"/>
              </w:rPr>
              <w:t>grossesse ou pendant l’allaitement (7% et 20% respectivement)</w:t>
            </w:r>
            <w:r w:rsidR="006703FF">
              <w:rPr>
                <w:lang w:val="fr-FR"/>
              </w:rPr>
              <w:t xml:space="preserve"> (</w:t>
            </w:r>
            <w:r w:rsidR="00496184" w:rsidRPr="00084F75">
              <w:rPr>
                <w:i/>
                <w:iCs/>
                <w:lang w:val="fr-FR"/>
              </w:rPr>
              <w:t>Annexe 1</w:t>
            </w:r>
            <w:r w:rsidR="00084F75" w:rsidRPr="00084F75">
              <w:rPr>
                <w:i/>
                <w:iCs/>
                <w:lang w:val="fr-FR"/>
              </w:rPr>
              <w:t>3</w:t>
            </w:r>
            <w:r w:rsidR="006703FF">
              <w:t>)</w:t>
            </w:r>
            <w:r w:rsidR="00084F75">
              <w:t>.</w:t>
            </w:r>
          </w:p>
          <w:p w14:paraId="291C439F" w14:textId="0F19E1E3" w:rsidR="00581CCB" w:rsidRPr="00390EA4" w:rsidRDefault="00581CCB" w:rsidP="002E4BAA">
            <w:pPr>
              <w:pStyle w:val="Texteformulaire"/>
              <w:rPr>
                <w:lang w:val="fr-FR"/>
              </w:rPr>
            </w:pPr>
            <w:r w:rsidRPr="00390EA4">
              <w:rPr>
                <w:lang w:val="fr-FR"/>
              </w:rPr>
              <w:t xml:space="preserve">Des efforts doivent donc être poursuivis pour dépister le plus grand nombre de femmes enceintes au cours du </w:t>
            </w:r>
            <w:r w:rsidR="006703FF">
              <w:rPr>
                <w:lang w:val="fr-FR"/>
              </w:rPr>
              <w:t>1</w:t>
            </w:r>
            <w:r w:rsidR="006703FF" w:rsidRPr="000525BF">
              <w:rPr>
                <w:vertAlign w:val="superscript"/>
                <w:lang w:val="fr-FR"/>
              </w:rPr>
              <w:t>er</w:t>
            </w:r>
            <w:r w:rsidR="006703FF">
              <w:rPr>
                <w:lang w:val="fr-FR"/>
              </w:rPr>
              <w:t xml:space="preserve"> </w:t>
            </w:r>
            <w:r w:rsidRPr="00390EA4">
              <w:rPr>
                <w:lang w:val="fr-FR"/>
              </w:rPr>
              <w:t>trimestre</w:t>
            </w:r>
            <w:r w:rsidR="00D04A11">
              <w:rPr>
                <w:lang w:val="fr-FR"/>
              </w:rPr>
              <w:t xml:space="preserve"> dans les </w:t>
            </w:r>
            <w:r w:rsidR="00D04A11" w:rsidRPr="00911A08">
              <w:rPr>
                <w:lang w:val="fr-CH"/>
              </w:rPr>
              <w:t>zones géographiques avec la charge la plus élevée et parmi les femmes des populations les plus vulnérables</w:t>
            </w:r>
            <w:r w:rsidRPr="00390EA4">
              <w:rPr>
                <w:lang w:val="fr-FR"/>
              </w:rPr>
              <w:t xml:space="preserve">, assurer </w:t>
            </w:r>
            <w:r w:rsidR="006703FF" w:rsidRPr="00390EA4">
              <w:rPr>
                <w:lang w:val="fr-FR"/>
              </w:rPr>
              <w:t>l</w:t>
            </w:r>
            <w:r w:rsidR="006703FF">
              <w:rPr>
                <w:lang w:val="fr-FR"/>
              </w:rPr>
              <w:t xml:space="preserve">eur traitement </w:t>
            </w:r>
            <w:r w:rsidRPr="00390EA4">
              <w:rPr>
                <w:lang w:val="fr-FR"/>
              </w:rPr>
              <w:t xml:space="preserve">ARV </w:t>
            </w:r>
            <w:r w:rsidR="006703FF">
              <w:rPr>
                <w:lang w:val="fr-FR"/>
              </w:rPr>
              <w:t xml:space="preserve">et sa </w:t>
            </w:r>
            <w:r w:rsidR="006703FF" w:rsidRPr="00390EA4">
              <w:rPr>
                <w:lang w:val="fr-FR"/>
              </w:rPr>
              <w:t xml:space="preserve">poursuite </w:t>
            </w:r>
            <w:r w:rsidRPr="00390EA4">
              <w:rPr>
                <w:lang w:val="fr-FR"/>
              </w:rPr>
              <w:t>chez les femmes allaitantes</w:t>
            </w:r>
            <w:r w:rsidR="006703FF">
              <w:rPr>
                <w:lang w:val="fr-FR"/>
              </w:rPr>
              <w:t>,</w:t>
            </w:r>
            <w:r w:rsidRPr="00390EA4">
              <w:rPr>
                <w:lang w:val="fr-FR"/>
              </w:rPr>
              <w:t xml:space="preserve"> pour réduire les contaminations tardives et garantir la rétention du couple mère-enfant jusqu'</w:t>
            </w:r>
            <w:r w:rsidR="006703FF">
              <w:rPr>
                <w:lang w:val="fr-FR"/>
              </w:rPr>
              <w:t>à la connaissance du</w:t>
            </w:r>
            <w:r w:rsidRPr="00390EA4">
              <w:rPr>
                <w:lang w:val="fr-FR"/>
              </w:rPr>
              <w:t xml:space="preserve"> statut définitif de l'enfant exposé.</w:t>
            </w:r>
          </w:p>
          <w:p w14:paraId="5F5F18D7" w14:textId="77777777" w:rsidR="005D402E" w:rsidRPr="00750CA9" w:rsidRDefault="00581CCB" w:rsidP="002E4BAA">
            <w:pPr>
              <w:pStyle w:val="Texteformulaire"/>
              <w:rPr>
                <w:i/>
                <w:lang w:val="fr-FR"/>
              </w:rPr>
            </w:pPr>
            <w:r w:rsidRPr="00750CA9">
              <w:rPr>
                <w:b/>
                <w:i/>
                <w:lang w:val="fr-FR"/>
              </w:rPr>
              <w:t>Tuberculose et VIH</w:t>
            </w:r>
            <w:r w:rsidRPr="00750CA9">
              <w:rPr>
                <w:i/>
                <w:lang w:val="fr-FR"/>
              </w:rPr>
              <w:t xml:space="preserve"> : </w:t>
            </w:r>
          </w:p>
          <w:p w14:paraId="6A2ED53E" w14:textId="3A55C733" w:rsidR="00581CCB" w:rsidRPr="00390EA4" w:rsidRDefault="002E4BAA" w:rsidP="002E4BAA">
            <w:pPr>
              <w:pStyle w:val="Texteformulaire"/>
              <w:rPr>
                <w:lang w:val="fr-FR"/>
              </w:rPr>
            </w:pPr>
            <w:r w:rsidRPr="00390EA4">
              <w:rPr>
                <w:lang w:val="fr-FR"/>
              </w:rPr>
              <w:t>L</w:t>
            </w:r>
            <w:r w:rsidR="00581CCB" w:rsidRPr="00390EA4">
              <w:rPr>
                <w:lang w:val="fr-FR"/>
              </w:rPr>
              <w:t>a Tuberculose</w:t>
            </w:r>
            <w:r w:rsidRPr="00390EA4">
              <w:rPr>
                <w:lang w:val="fr-FR"/>
              </w:rPr>
              <w:t xml:space="preserve"> demeure</w:t>
            </w:r>
            <w:r w:rsidR="00581CCB" w:rsidRPr="00390EA4">
              <w:rPr>
                <w:lang w:val="fr-FR"/>
              </w:rPr>
              <w:t xml:space="preserve"> </w:t>
            </w:r>
            <w:r w:rsidRPr="00390EA4">
              <w:rPr>
                <w:lang w:val="fr-FR"/>
              </w:rPr>
              <w:t xml:space="preserve">un problème de santé publique préoccupant </w:t>
            </w:r>
            <w:r w:rsidR="00581CCB" w:rsidRPr="00390EA4">
              <w:rPr>
                <w:lang w:val="fr-FR"/>
              </w:rPr>
              <w:t>en Côte d’Ivoir</w:t>
            </w:r>
            <w:r w:rsidRPr="00390EA4">
              <w:rPr>
                <w:lang w:val="fr-FR"/>
              </w:rPr>
              <w:t>e (</w:t>
            </w:r>
            <w:r w:rsidR="00581CCB" w:rsidRPr="00390EA4">
              <w:rPr>
                <w:lang w:val="fr-FR"/>
              </w:rPr>
              <w:t xml:space="preserve">incidence </w:t>
            </w:r>
            <w:r w:rsidR="00A16CA6" w:rsidRPr="00390EA4">
              <w:rPr>
                <w:lang w:val="fr-FR"/>
              </w:rPr>
              <w:t>de</w:t>
            </w:r>
            <w:r w:rsidR="00581CCB" w:rsidRPr="00390EA4">
              <w:rPr>
                <w:lang w:val="fr-FR"/>
              </w:rPr>
              <w:t xml:space="preserve"> </w:t>
            </w:r>
            <w:r w:rsidR="00581CCB" w:rsidRPr="00474FC8">
              <w:rPr>
                <w:lang w:val="fr-FR"/>
              </w:rPr>
              <w:t>14</w:t>
            </w:r>
            <w:r w:rsidR="0032409B">
              <w:rPr>
                <w:lang w:val="fr-FR"/>
              </w:rPr>
              <w:t>2</w:t>
            </w:r>
            <w:r w:rsidR="00581CCB" w:rsidRPr="00390EA4">
              <w:rPr>
                <w:lang w:val="fr-FR"/>
              </w:rPr>
              <w:t xml:space="preserve"> cas pour 100 000 hab</w:t>
            </w:r>
            <w:r w:rsidR="00123AFF">
              <w:rPr>
                <w:lang w:val="fr-FR"/>
              </w:rPr>
              <w:t xml:space="preserve">. </w:t>
            </w:r>
            <w:r w:rsidR="00A16CA6" w:rsidRPr="00390EA4">
              <w:rPr>
                <w:lang w:val="fr-FR"/>
              </w:rPr>
              <w:t xml:space="preserve">; </w:t>
            </w:r>
            <w:r w:rsidR="00A16CA6" w:rsidRPr="00390EA4">
              <w:rPr>
                <w:b/>
                <w:lang w:val="fr-FR"/>
              </w:rPr>
              <w:t>21 031 cas</w:t>
            </w:r>
            <w:r w:rsidR="00A16CA6" w:rsidRPr="00390EA4">
              <w:rPr>
                <w:lang w:val="fr-FR"/>
              </w:rPr>
              <w:t xml:space="preserve"> notifiés </w:t>
            </w:r>
            <w:r w:rsidR="0032409B">
              <w:rPr>
                <w:lang w:val="fr-FR"/>
              </w:rPr>
              <w:t xml:space="preserve">sur 36 000 cas estimés </w:t>
            </w:r>
            <w:r w:rsidR="00A16CA6" w:rsidRPr="00390EA4">
              <w:rPr>
                <w:lang w:val="fr-FR"/>
              </w:rPr>
              <w:t>e</w:t>
            </w:r>
            <w:r w:rsidR="00581CCB" w:rsidRPr="00390EA4">
              <w:rPr>
                <w:lang w:val="fr-FR"/>
              </w:rPr>
              <w:t>n 2018</w:t>
            </w:r>
            <w:r w:rsidR="0032409B">
              <w:rPr>
                <w:lang w:val="fr-FR"/>
              </w:rPr>
              <w:t xml:space="preserve"> (</w:t>
            </w:r>
            <w:r w:rsidR="00084F75">
              <w:rPr>
                <w:lang w:val="fr-FR"/>
              </w:rPr>
              <w:t xml:space="preserve">soit </w:t>
            </w:r>
            <w:r w:rsidR="0032409B" w:rsidRPr="00A70ACA">
              <w:rPr>
                <w:lang w:val="fr-FR"/>
              </w:rPr>
              <w:t>59%</w:t>
            </w:r>
            <w:r w:rsidR="00084F75">
              <w:rPr>
                <w:lang w:val="fr-FR"/>
              </w:rPr>
              <w:t>)</w:t>
            </w:r>
            <w:r w:rsidR="0032409B">
              <w:rPr>
                <w:lang w:val="fr-FR"/>
              </w:rPr>
              <w:t xml:space="preserve">, </w:t>
            </w:r>
            <w:r w:rsidR="00084F75">
              <w:rPr>
                <w:lang w:val="fr-FR"/>
              </w:rPr>
              <w:t>(</w:t>
            </w:r>
            <w:r w:rsidR="00084F75" w:rsidRPr="00084F75">
              <w:rPr>
                <w:i/>
                <w:iCs/>
                <w:lang w:val="fr-FR"/>
              </w:rPr>
              <w:t>Annexe 14</w:t>
            </w:r>
            <w:r w:rsidR="00084F75">
              <w:rPr>
                <w:lang w:val="fr-FR"/>
              </w:rPr>
              <w:t>)</w:t>
            </w:r>
            <w:r w:rsidR="00A16CA6" w:rsidRPr="00474FC8">
              <w:rPr>
                <w:lang w:val="fr-FR"/>
              </w:rPr>
              <w:t>.</w:t>
            </w:r>
            <w:r w:rsidR="00A16CA6" w:rsidRPr="00390EA4">
              <w:rPr>
                <w:lang w:val="fr-FR"/>
              </w:rPr>
              <w:t xml:space="preserve"> Sur </w:t>
            </w:r>
            <w:r w:rsidR="00581CCB" w:rsidRPr="00390EA4">
              <w:rPr>
                <w:b/>
                <w:lang w:val="fr-FR"/>
              </w:rPr>
              <w:t>99%</w:t>
            </w:r>
            <w:r w:rsidR="00581CCB" w:rsidRPr="00390EA4">
              <w:rPr>
                <w:lang w:val="fr-FR"/>
              </w:rPr>
              <w:t xml:space="preserve"> </w:t>
            </w:r>
            <w:r w:rsidR="00A16CA6" w:rsidRPr="00390EA4">
              <w:rPr>
                <w:lang w:val="fr-FR"/>
              </w:rPr>
              <w:t xml:space="preserve">des cas qui </w:t>
            </w:r>
            <w:r w:rsidR="00581CCB" w:rsidRPr="00390EA4">
              <w:rPr>
                <w:lang w:val="fr-FR"/>
              </w:rPr>
              <w:t>ont bénéficié d’un test de dépistage du VIH</w:t>
            </w:r>
            <w:r w:rsidR="00A16CA6" w:rsidRPr="00390EA4">
              <w:rPr>
                <w:lang w:val="fr-FR"/>
              </w:rPr>
              <w:t>,</w:t>
            </w:r>
            <w:r w:rsidR="00581CCB" w:rsidRPr="00390EA4">
              <w:rPr>
                <w:lang w:val="fr-FR"/>
              </w:rPr>
              <w:t xml:space="preserve"> </w:t>
            </w:r>
            <w:r w:rsidR="00581CCB" w:rsidRPr="00390EA4">
              <w:rPr>
                <w:b/>
                <w:lang w:val="fr-FR"/>
              </w:rPr>
              <w:t xml:space="preserve">4 091 </w:t>
            </w:r>
            <w:r w:rsidR="00581CCB" w:rsidRPr="00390EA4">
              <w:rPr>
                <w:lang w:val="fr-FR"/>
              </w:rPr>
              <w:t xml:space="preserve">patients </w:t>
            </w:r>
            <w:r w:rsidR="00581CCB" w:rsidRPr="00390EA4">
              <w:rPr>
                <w:b/>
                <w:lang w:val="fr-FR"/>
              </w:rPr>
              <w:t xml:space="preserve">(20%) </w:t>
            </w:r>
            <w:r w:rsidR="00581CCB" w:rsidRPr="00390EA4">
              <w:rPr>
                <w:lang w:val="fr-FR"/>
              </w:rPr>
              <w:t xml:space="preserve">étaient </w:t>
            </w:r>
            <w:proofErr w:type="spellStart"/>
            <w:r w:rsidR="00581CCB" w:rsidRPr="00390EA4">
              <w:rPr>
                <w:lang w:val="fr-FR"/>
              </w:rPr>
              <w:t>co-infectés</w:t>
            </w:r>
            <w:proofErr w:type="spellEnd"/>
            <w:r w:rsidR="00581CCB" w:rsidRPr="00390EA4">
              <w:rPr>
                <w:lang w:val="fr-FR"/>
              </w:rPr>
              <w:t xml:space="preserve"> TB/VIH, </w:t>
            </w:r>
            <w:r w:rsidR="0032409B">
              <w:rPr>
                <w:rFonts w:eastAsia="Calibri"/>
                <w:lang w:val="fr-FR"/>
              </w:rPr>
              <w:t>stable</w:t>
            </w:r>
            <w:r w:rsidR="00581CCB" w:rsidRPr="00390EA4">
              <w:rPr>
                <w:lang w:val="fr-FR"/>
              </w:rPr>
              <w:t xml:space="preserve"> depuis 2016</w:t>
            </w:r>
            <w:r w:rsidR="003C4DF7">
              <w:rPr>
                <w:rFonts w:eastAsia="Calibri"/>
                <w:lang w:val="fr-FR"/>
              </w:rPr>
              <w:t xml:space="preserve">. Au total, </w:t>
            </w:r>
            <w:r w:rsidR="003C4DF7" w:rsidRPr="0097529A">
              <w:rPr>
                <w:lang w:val="fr-FR"/>
              </w:rPr>
              <w:t xml:space="preserve">50% de toutes les coinfections TB/VIH déclarées se trouvaient dans </w:t>
            </w:r>
            <w:r w:rsidR="003C4DF7" w:rsidRPr="0097529A">
              <w:rPr>
                <w:lang w:val="fr-FR"/>
              </w:rPr>
              <w:lastRenderedPageBreak/>
              <w:t xml:space="preserve">seulement 7 </w:t>
            </w:r>
            <w:r w:rsidR="003C4DF7">
              <w:rPr>
                <w:lang w:val="fr-FR"/>
              </w:rPr>
              <w:t>DS,</w:t>
            </w:r>
            <w:r w:rsidR="003C4DF7" w:rsidRPr="0097529A">
              <w:rPr>
                <w:lang w:val="fr-FR"/>
              </w:rPr>
              <w:t xml:space="preserve"> 80% dans 26 </w:t>
            </w:r>
            <w:r w:rsidR="003C4DF7">
              <w:rPr>
                <w:lang w:val="fr-FR"/>
              </w:rPr>
              <w:t>DS (</w:t>
            </w:r>
            <w:r w:rsidR="00084F75" w:rsidRPr="00084F75">
              <w:rPr>
                <w:i/>
                <w:iCs/>
                <w:lang w:val="fr-FR"/>
              </w:rPr>
              <w:t>Annexe 15</w:t>
            </w:r>
            <w:r w:rsidR="00084F75">
              <w:rPr>
                <w:lang w:val="fr-FR"/>
              </w:rPr>
              <w:t>)</w:t>
            </w:r>
            <w:r w:rsidR="00581CCB" w:rsidRPr="00390EA4">
              <w:rPr>
                <w:rFonts w:eastAsia="Calibri"/>
                <w:lang w:val="fr-FR"/>
              </w:rPr>
              <w:t>.</w:t>
            </w:r>
            <w:r w:rsidR="00581CCB" w:rsidRPr="00390EA4">
              <w:rPr>
                <w:lang w:val="fr-FR"/>
              </w:rPr>
              <w:t xml:space="preserve"> Entre 2017 et 2018, la TBMR/VIH </w:t>
            </w:r>
            <w:r w:rsidR="00A16CA6" w:rsidRPr="00390EA4">
              <w:rPr>
                <w:lang w:val="fr-FR"/>
              </w:rPr>
              <w:t>a baissé</w:t>
            </w:r>
            <w:r w:rsidR="00581CCB" w:rsidRPr="00390EA4">
              <w:rPr>
                <w:lang w:val="fr-FR"/>
              </w:rPr>
              <w:t xml:space="preserve"> de 17% à 5%. </w:t>
            </w:r>
            <w:r w:rsidR="00A16CA6" w:rsidRPr="00390EA4">
              <w:rPr>
                <w:lang w:val="fr-FR"/>
              </w:rPr>
              <w:t>En</w:t>
            </w:r>
            <w:r w:rsidR="00581CCB" w:rsidRPr="00390EA4">
              <w:rPr>
                <w:lang w:val="fr-FR"/>
              </w:rPr>
              <w:t xml:space="preserve"> 2012</w:t>
            </w:r>
            <w:r w:rsidR="00A16CA6" w:rsidRPr="00390EA4">
              <w:rPr>
                <w:lang w:val="fr-FR"/>
              </w:rPr>
              <w:t>,</w:t>
            </w:r>
            <w:r w:rsidR="00581CCB" w:rsidRPr="00390EA4">
              <w:rPr>
                <w:lang w:val="fr-FR"/>
              </w:rPr>
              <w:t xml:space="preserve"> la Côte d’Ivoire a adopté les directives pour la mise en œuvre des activités conjointes TB/VIH et en octobre 2017</w:t>
            </w:r>
            <w:r w:rsidR="00A16CA6" w:rsidRPr="00390EA4">
              <w:rPr>
                <w:lang w:val="fr-FR"/>
              </w:rPr>
              <w:t xml:space="preserve"> </w:t>
            </w:r>
            <w:r w:rsidR="00581CCB" w:rsidRPr="00390EA4">
              <w:rPr>
                <w:lang w:val="fr-FR"/>
              </w:rPr>
              <w:t>la thérapie préventive à l’</w:t>
            </w:r>
            <w:r w:rsidR="00A16CA6" w:rsidRPr="00390EA4">
              <w:rPr>
                <w:lang w:val="fr-FR"/>
              </w:rPr>
              <w:t>i</w:t>
            </w:r>
            <w:r w:rsidR="00581CCB" w:rsidRPr="00390EA4">
              <w:rPr>
                <w:lang w:val="fr-FR"/>
              </w:rPr>
              <w:t>soniazide (TPI)</w:t>
            </w:r>
            <w:r w:rsidR="00A16CA6" w:rsidRPr="00390EA4">
              <w:rPr>
                <w:lang w:val="fr-FR"/>
              </w:rPr>
              <w:t xml:space="preserve">, </w:t>
            </w:r>
            <w:r w:rsidR="00581CCB" w:rsidRPr="00390EA4">
              <w:rPr>
                <w:lang w:val="fr-FR"/>
              </w:rPr>
              <w:t xml:space="preserve">recommandées par l’OMS. Après une phase pilote de mise en </w:t>
            </w:r>
            <w:proofErr w:type="spellStart"/>
            <w:r w:rsidR="00581CCB" w:rsidRPr="00390EA4">
              <w:rPr>
                <w:lang w:val="fr-FR"/>
              </w:rPr>
              <w:t>oeuvre</w:t>
            </w:r>
            <w:proofErr w:type="spellEnd"/>
            <w:r w:rsidR="00581CCB" w:rsidRPr="00390EA4">
              <w:rPr>
                <w:lang w:val="fr-FR"/>
              </w:rPr>
              <w:t xml:space="preserve"> en fin 2018, le passage à l’échelle de la TPI dans les centres de prise en charge est prévu de façon progressive à partir de 2020</w:t>
            </w:r>
            <w:r w:rsidR="00516FA6">
              <w:rPr>
                <w:lang w:val="fr-FR"/>
              </w:rPr>
              <w:t xml:space="preserve"> (</w:t>
            </w:r>
            <w:r w:rsidR="00084F75" w:rsidRPr="00084F75">
              <w:rPr>
                <w:i/>
                <w:iCs/>
                <w:lang w:val="fr-FR"/>
              </w:rPr>
              <w:t>Annexe 16</w:t>
            </w:r>
            <w:r w:rsidR="00084F75">
              <w:rPr>
                <w:lang w:val="fr-FR"/>
              </w:rPr>
              <w:t>)</w:t>
            </w:r>
            <w:r w:rsidR="00581CCB" w:rsidRPr="00390EA4">
              <w:rPr>
                <w:lang w:val="fr-FR"/>
              </w:rPr>
              <w:t>.</w:t>
            </w:r>
          </w:p>
          <w:p w14:paraId="76C49758" w14:textId="77777777" w:rsidR="005D402E" w:rsidRPr="00750CA9" w:rsidRDefault="00581CCB" w:rsidP="00A16CA6">
            <w:pPr>
              <w:pStyle w:val="Texteformulaire"/>
              <w:rPr>
                <w:b/>
                <w:i/>
                <w:lang w:val="fr-FR"/>
              </w:rPr>
            </w:pPr>
            <w:r w:rsidRPr="00750CA9">
              <w:rPr>
                <w:b/>
                <w:i/>
                <w:lang w:val="fr-FR"/>
              </w:rPr>
              <w:t xml:space="preserve">PTME et Prise en charge Pédiatrique : </w:t>
            </w:r>
          </w:p>
          <w:p w14:paraId="64C530F2" w14:textId="139171D1" w:rsidR="00581CCB" w:rsidRPr="00390EA4" w:rsidRDefault="00581CCB" w:rsidP="00A16CA6">
            <w:pPr>
              <w:pStyle w:val="Texteformulaire"/>
              <w:rPr>
                <w:lang w:val="fr-FR"/>
              </w:rPr>
            </w:pPr>
            <w:r w:rsidRPr="00390EA4">
              <w:rPr>
                <w:lang w:val="fr-FR"/>
              </w:rPr>
              <w:t>L’offre de services de PTME est fortement intégrée dans les formations sanitaires publiques (94% offrent ces services), mais peu répandue dans le privé (2% des formations sanitaires privées)</w:t>
            </w:r>
            <w:r w:rsidR="002B745E">
              <w:rPr>
                <w:lang w:val="fr-FR"/>
              </w:rPr>
              <w:t xml:space="preserve"> et globalement insuffisamment utilisée</w:t>
            </w:r>
            <w:r w:rsidRPr="00390EA4">
              <w:rPr>
                <w:lang w:val="fr-FR"/>
              </w:rPr>
              <w:t xml:space="preserve">. </w:t>
            </w:r>
            <w:r w:rsidRPr="00474FC8">
              <w:rPr>
                <w:lang w:val="fr-FR"/>
              </w:rPr>
              <w:t xml:space="preserve">A la fin </w:t>
            </w:r>
            <w:r w:rsidR="00543952">
              <w:rPr>
                <w:lang w:val="fr-FR"/>
              </w:rPr>
              <w:t xml:space="preserve">de </w:t>
            </w:r>
            <w:r w:rsidRPr="00390EA4">
              <w:rPr>
                <w:lang w:val="fr-FR"/>
              </w:rPr>
              <w:t xml:space="preserve">2019, </w:t>
            </w:r>
            <w:r w:rsidR="00543952">
              <w:rPr>
                <w:lang w:val="fr-FR"/>
              </w:rPr>
              <w:t>97</w:t>
            </w:r>
            <w:r w:rsidRPr="00390EA4">
              <w:rPr>
                <w:lang w:val="fr-FR"/>
              </w:rPr>
              <w:t xml:space="preserve">% des femmes enceintes </w:t>
            </w:r>
            <w:r w:rsidR="00543952">
              <w:rPr>
                <w:lang w:val="fr-FR"/>
              </w:rPr>
              <w:t xml:space="preserve">attendues </w:t>
            </w:r>
            <w:r w:rsidRPr="00390EA4">
              <w:rPr>
                <w:lang w:val="fr-FR"/>
              </w:rPr>
              <w:t>avaient bénéficié du dépistage VIH et reçu leur résultat</w:t>
            </w:r>
            <w:r w:rsidR="00543952">
              <w:rPr>
                <w:lang w:val="fr-FR"/>
              </w:rPr>
              <w:t xml:space="preserve"> </w:t>
            </w:r>
            <w:r w:rsidR="00543952" w:rsidRPr="00474FC8">
              <w:rPr>
                <w:lang w:val="fr-FR"/>
              </w:rPr>
              <w:t>en CPN</w:t>
            </w:r>
            <w:r w:rsidR="00543952">
              <w:rPr>
                <w:lang w:val="fr-FR"/>
              </w:rPr>
              <w:t xml:space="preserve"> et en maternité</w:t>
            </w:r>
            <w:r w:rsidR="00530A39">
              <w:rPr>
                <w:lang w:val="fr-FR"/>
              </w:rPr>
              <w:t xml:space="preserve">, mais seulement </w:t>
            </w:r>
            <w:r w:rsidR="00530A39" w:rsidRPr="00750CA9">
              <w:rPr>
                <w:i/>
                <w:lang w:val="fr-FR"/>
              </w:rPr>
              <w:t>34% des FE étaient vues en CPN1 au 1</w:t>
            </w:r>
            <w:r w:rsidR="00530A39" w:rsidRPr="00750CA9">
              <w:rPr>
                <w:i/>
                <w:vertAlign w:val="superscript"/>
                <w:lang w:val="fr-FR"/>
              </w:rPr>
              <w:t>er</w:t>
            </w:r>
            <w:r w:rsidR="00530A39" w:rsidRPr="00750CA9">
              <w:rPr>
                <w:i/>
                <w:lang w:val="fr-FR"/>
              </w:rPr>
              <w:t xml:space="preserve"> trimestre de grossesse</w:t>
            </w:r>
            <w:r w:rsidR="00516FA6">
              <w:rPr>
                <w:i/>
                <w:iCs/>
                <w:lang w:val="fr-FR"/>
              </w:rPr>
              <w:t xml:space="preserve"> (</w:t>
            </w:r>
            <w:r w:rsidR="00084F75">
              <w:rPr>
                <w:i/>
                <w:iCs/>
                <w:lang w:val="fr-FR"/>
              </w:rPr>
              <w:t>Annexe 12</w:t>
            </w:r>
            <w:r w:rsidR="00516FA6">
              <w:rPr>
                <w:i/>
                <w:iCs/>
                <w:lang w:val="fr-FR"/>
              </w:rPr>
              <w:t>)</w:t>
            </w:r>
            <w:r w:rsidRPr="00390EA4">
              <w:rPr>
                <w:lang w:val="fr-FR"/>
              </w:rPr>
              <w:t xml:space="preserve">. Parmi les dépistées positives, seulement </w:t>
            </w:r>
            <w:r w:rsidR="00543952">
              <w:rPr>
                <w:lang w:val="fr-FR"/>
              </w:rPr>
              <w:t>79%</w:t>
            </w:r>
            <w:r w:rsidRPr="00390EA4">
              <w:rPr>
                <w:lang w:val="fr-FR"/>
              </w:rPr>
              <w:t xml:space="preserve"> ont </w:t>
            </w:r>
            <w:r w:rsidR="00530A39">
              <w:rPr>
                <w:lang w:val="fr-FR"/>
              </w:rPr>
              <w:t xml:space="preserve">reçu des </w:t>
            </w:r>
            <w:r w:rsidRPr="00390EA4">
              <w:rPr>
                <w:lang w:val="fr-FR"/>
              </w:rPr>
              <w:t>ARV</w:t>
            </w:r>
            <w:r w:rsidR="00A16CA6" w:rsidRPr="00390EA4">
              <w:rPr>
                <w:lang w:val="fr-FR"/>
              </w:rPr>
              <w:t>,</w:t>
            </w:r>
            <w:r w:rsidRPr="00390EA4">
              <w:rPr>
                <w:lang w:val="fr-FR"/>
              </w:rPr>
              <w:t xml:space="preserve"> </w:t>
            </w:r>
            <w:r w:rsidR="002F5A60">
              <w:rPr>
                <w:lang w:val="fr-FR"/>
              </w:rPr>
              <w:t>63</w:t>
            </w:r>
            <w:r w:rsidRPr="00390EA4">
              <w:rPr>
                <w:lang w:val="fr-FR"/>
              </w:rPr>
              <w:t>% ont accouché dans une formation sanitaire</w:t>
            </w:r>
            <w:r w:rsidR="00A16CA6" w:rsidRPr="00390EA4">
              <w:rPr>
                <w:lang w:val="fr-FR"/>
              </w:rPr>
              <w:t>, e</w:t>
            </w:r>
            <w:r w:rsidRPr="00390EA4">
              <w:rPr>
                <w:lang w:val="fr-FR"/>
              </w:rPr>
              <w:t xml:space="preserve">t </w:t>
            </w:r>
            <w:r w:rsidRPr="00474FC8">
              <w:rPr>
                <w:lang w:val="fr-FR"/>
              </w:rPr>
              <w:t>3</w:t>
            </w:r>
            <w:r w:rsidR="002F5A60">
              <w:rPr>
                <w:lang w:val="fr-FR"/>
              </w:rPr>
              <w:t>6</w:t>
            </w:r>
            <w:r w:rsidRPr="00390EA4">
              <w:rPr>
                <w:lang w:val="fr-FR"/>
              </w:rPr>
              <w:t>% des FVVIH en âge de procréer ont bénéficié de conseils en planification familiale.</w:t>
            </w:r>
            <w:r w:rsidR="00A16CA6" w:rsidRPr="00390EA4">
              <w:rPr>
                <w:lang w:val="fr-FR"/>
              </w:rPr>
              <w:t xml:space="preserve"> </w:t>
            </w:r>
            <w:r w:rsidRPr="00390EA4">
              <w:rPr>
                <w:lang w:val="fr-FR"/>
              </w:rPr>
              <w:t xml:space="preserve">Parmi les enfants exposés, seulement </w:t>
            </w:r>
            <w:r w:rsidR="002F5A60">
              <w:rPr>
                <w:lang w:val="fr-FR"/>
              </w:rPr>
              <w:t>63</w:t>
            </w:r>
            <w:r w:rsidRPr="00390EA4">
              <w:rPr>
                <w:lang w:val="fr-FR"/>
              </w:rPr>
              <w:t xml:space="preserve">% ont bénéficié de la prophylaxie ARV et </w:t>
            </w:r>
            <w:r w:rsidR="00530A39">
              <w:rPr>
                <w:lang w:val="fr-FR"/>
              </w:rPr>
              <w:t xml:space="preserve">53% </w:t>
            </w:r>
            <w:r w:rsidRPr="00390EA4">
              <w:rPr>
                <w:lang w:val="fr-FR"/>
              </w:rPr>
              <w:t>du dépistage précoce (</w:t>
            </w:r>
            <w:r w:rsidR="002F5A60">
              <w:rPr>
                <w:lang w:val="fr-FR"/>
              </w:rPr>
              <w:t xml:space="preserve">avant </w:t>
            </w:r>
            <w:r w:rsidRPr="00390EA4">
              <w:rPr>
                <w:lang w:val="fr-FR"/>
              </w:rPr>
              <w:t>8 semaines de vie).</w:t>
            </w:r>
            <w:r w:rsidR="00543952">
              <w:rPr>
                <w:lang w:val="fr-FR"/>
              </w:rPr>
              <w:t xml:space="preserve"> L’écart programmatique en matière de PTME </w:t>
            </w:r>
            <w:r w:rsidR="002F5A60">
              <w:rPr>
                <w:lang w:val="fr-FR"/>
              </w:rPr>
              <w:t>étai</w:t>
            </w:r>
            <w:r w:rsidR="00543952">
              <w:rPr>
                <w:lang w:val="fr-FR"/>
              </w:rPr>
              <w:t>t concentré dans 47 DS (</w:t>
            </w:r>
            <w:r w:rsidR="00543952" w:rsidRPr="00543952">
              <w:rPr>
                <w:lang w:val="fr-FR"/>
              </w:rPr>
              <w:t xml:space="preserve">80% </w:t>
            </w:r>
            <w:r w:rsidR="00543952">
              <w:rPr>
                <w:lang w:val="fr-FR"/>
              </w:rPr>
              <w:t>des n</w:t>
            </w:r>
            <w:r w:rsidR="00543952" w:rsidRPr="00543952">
              <w:rPr>
                <w:lang w:val="fr-FR"/>
              </w:rPr>
              <w:t xml:space="preserve">ouvelles </w:t>
            </w:r>
            <w:r w:rsidR="00543952">
              <w:rPr>
                <w:lang w:val="fr-FR"/>
              </w:rPr>
              <w:t>i</w:t>
            </w:r>
            <w:r w:rsidR="00543952" w:rsidRPr="00543952">
              <w:rPr>
                <w:lang w:val="fr-FR"/>
              </w:rPr>
              <w:t>nfections chez les enfants</w:t>
            </w:r>
            <w:r w:rsidR="00543952">
              <w:rPr>
                <w:lang w:val="fr-FR"/>
              </w:rPr>
              <w:t xml:space="preserve">, </w:t>
            </w:r>
            <w:r w:rsidR="002F5A60" w:rsidRPr="00543952">
              <w:rPr>
                <w:lang w:val="fr-FR"/>
              </w:rPr>
              <w:t xml:space="preserve">80% des </w:t>
            </w:r>
            <w:r w:rsidR="002F5A60">
              <w:rPr>
                <w:lang w:val="fr-FR"/>
              </w:rPr>
              <w:t>FEVVIH</w:t>
            </w:r>
            <w:r w:rsidR="002F5A60" w:rsidRPr="00543952">
              <w:rPr>
                <w:lang w:val="fr-FR"/>
              </w:rPr>
              <w:t xml:space="preserve"> </w:t>
            </w:r>
            <w:r w:rsidR="002F5A60">
              <w:rPr>
                <w:lang w:val="fr-FR"/>
              </w:rPr>
              <w:t xml:space="preserve">et </w:t>
            </w:r>
            <w:r w:rsidR="00543952" w:rsidRPr="00543952">
              <w:rPr>
                <w:lang w:val="fr-FR"/>
              </w:rPr>
              <w:t xml:space="preserve">81% </w:t>
            </w:r>
            <w:r w:rsidR="00543952">
              <w:rPr>
                <w:lang w:val="fr-FR"/>
              </w:rPr>
              <w:t>d</w:t>
            </w:r>
            <w:r w:rsidR="002F5A60">
              <w:rPr>
                <w:lang w:val="fr-FR"/>
              </w:rPr>
              <w:t>u gap de</w:t>
            </w:r>
            <w:r w:rsidR="00543952">
              <w:rPr>
                <w:lang w:val="fr-FR"/>
              </w:rPr>
              <w:t xml:space="preserve"> </w:t>
            </w:r>
            <w:r w:rsidR="00543952" w:rsidRPr="00543952">
              <w:rPr>
                <w:lang w:val="fr-FR"/>
              </w:rPr>
              <w:t xml:space="preserve">couverture </w:t>
            </w:r>
            <w:r w:rsidR="002F5A60">
              <w:rPr>
                <w:lang w:val="fr-FR"/>
              </w:rPr>
              <w:t xml:space="preserve">en </w:t>
            </w:r>
            <w:r w:rsidR="00543952" w:rsidRPr="00543952">
              <w:rPr>
                <w:lang w:val="fr-FR"/>
              </w:rPr>
              <w:t xml:space="preserve">ARV chez les </w:t>
            </w:r>
            <w:r w:rsidR="00543952">
              <w:rPr>
                <w:lang w:val="fr-FR"/>
              </w:rPr>
              <w:t>FEVVIH).)</w:t>
            </w:r>
            <w:r w:rsidR="00516FA6">
              <w:rPr>
                <w:lang w:val="fr-FR"/>
              </w:rPr>
              <w:t xml:space="preserve"> (</w:t>
            </w:r>
            <w:proofErr w:type="gramStart"/>
            <w:r w:rsidR="00516FA6" w:rsidRPr="00084F75">
              <w:rPr>
                <w:i/>
                <w:iCs/>
                <w:lang w:val="fr-FR"/>
              </w:rPr>
              <w:t>cf.</w:t>
            </w:r>
            <w:proofErr w:type="gramEnd"/>
            <w:r w:rsidR="00516FA6" w:rsidRPr="00084F75">
              <w:rPr>
                <w:i/>
                <w:iCs/>
                <w:lang w:val="fr-FR"/>
              </w:rPr>
              <w:t xml:space="preserve"> tab 2, section 2.1</w:t>
            </w:r>
            <w:r w:rsidR="00516FA6">
              <w:rPr>
                <w:lang w:val="fr-FR"/>
              </w:rPr>
              <w:t>)</w:t>
            </w:r>
            <w:r w:rsidR="00543952">
              <w:rPr>
                <w:lang w:val="fr-FR"/>
              </w:rPr>
              <w:t>.</w:t>
            </w:r>
          </w:p>
          <w:p w14:paraId="5C9CA284" w14:textId="4F904F9C" w:rsidR="002B745E" w:rsidRDefault="00530A39" w:rsidP="00390EA4">
            <w:pPr>
              <w:jc w:val="both"/>
              <w:rPr>
                <w:rFonts w:ascii="Arial" w:eastAsiaTheme="minorHAnsi" w:hAnsi="Arial"/>
                <w:sz w:val="22"/>
                <w:szCs w:val="22"/>
              </w:rPr>
            </w:pPr>
            <w:r w:rsidRPr="00390EA4">
              <w:rPr>
                <w:rFonts w:ascii="Arial" w:eastAsiaTheme="minorHAnsi" w:hAnsi="Arial"/>
                <w:sz w:val="22"/>
                <w:szCs w:val="22"/>
              </w:rPr>
              <w:t>La méconnaissance de leur statut VIH</w:t>
            </w:r>
            <w:r w:rsidR="002F5A60" w:rsidRPr="00390EA4">
              <w:rPr>
                <w:rFonts w:ascii="Arial" w:eastAsiaTheme="minorHAnsi" w:hAnsi="Arial"/>
                <w:sz w:val="22"/>
                <w:szCs w:val="22"/>
              </w:rPr>
              <w:t xml:space="preserve"> </w:t>
            </w:r>
            <w:r w:rsidRPr="00390EA4">
              <w:rPr>
                <w:rFonts w:ascii="Arial" w:eastAsiaTheme="minorHAnsi" w:hAnsi="Arial"/>
                <w:sz w:val="22"/>
                <w:szCs w:val="22"/>
              </w:rPr>
              <w:t>par l</w:t>
            </w:r>
            <w:r w:rsidR="002F5A60" w:rsidRPr="00390EA4">
              <w:rPr>
                <w:rFonts w:ascii="Arial" w:eastAsiaTheme="minorHAnsi" w:hAnsi="Arial"/>
                <w:sz w:val="22"/>
                <w:szCs w:val="22"/>
              </w:rPr>
              <w:t>es femmes en âge de procréer</w:t>
            </w:r>
            <w:r w:rsidRPr="00390EA4">
              <w:rPr>
                <w:rFonts w:ascii="Arial" w:eastAsiaTheme="minorHAnsi" w:hAnsi="Arial"/>
                <w:sz w:val="22"/>
                <w:szCs w:val="22"/>
              </w:rPr>
              <w:t>,</w:t>
            </w:r>
            <w:r w:rsidR="002F5A60" w:rsidRPr="00390EA4">
              <w:rPr>
                <w:rFonts w:ascii="Arial" w:eastAsiaTheme="minorHAnsi" w:hAnsi="Arial"/>
                <w:sz w:val="22"/>
                <w:szCs w:val="22"/>
              </w:rPr>
              <w:t xml:space="preserve"> la poursuite du TARV chez les femmes allaitantes selon les directives nationales pour réduire les contaminations tardives</w:t>
            </w:r>
            <w:r w:rsidR="002B745E" w:rsidRPr="00390EA4">
              <w:rPr>
                <w:rFonts w:ascii="Arial" w:eastAsiaTheme="minorHAnsi" w:hAnsi="Arial"/>
                <w:sz w:val="22"/>
                <w:szCs w:val="22"/>
              </w:rPr>
              <w:t xml:space="preserve">, </w:t>
            </w:r>
            <w:r w:rsidR="002F5A60" w:rsidRPr="00390EA4">
              <w:rPr>
                <w:rFonts w:ascii="Arial" w:eastAsiaTheme="minorHAnsi" w:hAnsi="Arial"/>
                <w:sz w:val="22"/>
                <w:szCs w:val="22"/>
              </w:rPr>
              <w:t>la rétention du couple mère-enfant jusqu'au statut définitif de l'enfant exposé (élimination réelle des barrières financières, notamment informelles</w:t>
            </w:r>
            <w:r w:rsidR="002B745E" w:rsidRPr="00390EA4">
              <w:rPr>
                <w:rFonts w:ascii="Arial" w:eastAsiaTheme="minorHAnsi" w:hAnsi="Arial"/>
                <w:sz w:val="22"/>
                <w:szCs w:val="22"/>
              </w:rPr>
              <w:t xml:space="preserve">) demeurent </w:t>
            </w:r>
            <w:r w:rsidR="002B745E">
              <w:rPr>
                <w:rFonts w:ascii="Arial" w:eastAsiaTheme="minorHAnsi" w:hAnsi="Arial"/>
                <w:sz w:val="22"/>
                <w:szCs w:val="22"/>
              </w:rPr>
              <w:t>l</w:t>
            </w:r>
            <w:r w:rsidRPr="00390EA4">
              <w:rPr>
                <w:rFonts w:ascii="Arial" w:eastAsiaTheme="minorHAnsi" w:hAnsi="Arial"/>
                <w:sz w:val="22"/>
                <w:szCs w:val="22"/>
              </w:rPr>
              <w:t>es défis majeurs de la PTME</w:t>
            </w:r>
            <w:r w:rsidR="002B745E" w:rsidRPr="00390EA4">
              <w:rPr>
                <w:rFonts w:ascii="Arial" w:eastAsiaTheme="minorHAnsi" w:hAnsi="Arial"/>
                <w:sz w:val="22"/>
                <w:szCs w:val="22"/>
              </w:rPr>
              <w:t xml:space="preserve">. Les pesanteurs sociales et culturelles </w:t>
            </w:r>
            <w:r w:rsidR="00492EE9">
              <w:rPr>
                <w:rFonts w:ascii="Arial" w:eastAsiaTheme="minorHAnsi" w:hAnsi="Arial"/>
                <w:sz w:val="22"/>
                <w:szCs w:val="22"/>
              </w:rPr>
              <w:t>(faible engagement des maris et des communautés)</w:t>
            </w:r>
            <w:r w:rsidR="002B745E" w:rsidRPr="00390EA4">
              <w:rPr>
                <w:rFonts w:ascii="Arial" w:eastAsiaTheme="minorHAnsi" w:hAnsi="Arial"/>
                <w:sz w:val="22"/>
                <w:szCs w:val="22"/>
              </w:rPr>
              <w:t xml:space="preserve"> semblent jouer un rôle plus déterminant que </w:t>
            </w:r>
            <w:r w:rsidR="008B69F9">
              <w:rPr>
                <w:rFonts w:ascii="Arial" w:eastAsiaTheme="minorHAnsi" w:hAnsi="Arial"/>
                <w:sz w:val="22"/>
                <w:szCs w:val="22"/>
              </w:rPr>
              <w:t>les difficultés d</w:t>
            </w:r>
            <w:r w:rsidR="002B745E" w:rsidRPr="00390EA4">
              <w:rPr>
                <w:rFonts w:ascii="Arial" w:eastAsiaTheme="minorHAnsi" w:hAnsi="Arial"/>
                <w:sz w:val="22"/>
                <w:szCs w:val="22"/>
              </w:rPr>
              <w:t>’accès géographique au service de PTME.</w:t>
            </w:r>
            <w:r w:rsidR="002B745E">
              <w:rPr>
                <w:rFonts w:ascii="Arial" w:eastAsiaTheme="minorHAnsi" w:hAnsi="Arial"/>
                <w:sz w:val="22"/>
                <w:szCs w:val="22"/>
              </w:rPr>
              <w:t xml:space="preserve"> </w:t>
            </w:r>
            <w:r w:rsidR="00492EE9">
              <w:rPr>
                <w:rFonts w:ascii="Arial" w:eastAsiaTheme="minorHAnsi" w:hAnsi="Arial"/>
                <w:sz w:val="22"/>
                <w:szCs w:val="22"/>
              </w:rPr>
              <w:t>L’offre de planification familiale dans les centres de prises en charge de FVVIH doit être améliorée.</w:t>
            </w:r>
          </w:p>
          <w:p w14:paraId="1C4BD027" w14:textId="491C6FCC" w:rsidR="00550DBF" w:rsidRPr="000F1326" w:rsidRDefault="000F1326" w:rsidP="000525BF">
            <w:pPr>
              <w:jc w:val="center"/>
              <w:rPr>
                <w:rFonts w:ascii="Arial" w:eastAsiaTheme="minorHAnsi" w:hAnsi="Arial"/>
                <w:sz w:val="22"/>
                <w:szCs w:val="22"/>
              </w:rPr>
            </w:pPr>
            <w:r>
              <w:rPr>
                <w:rFonts w:ascii="Arial" w:eastAsiaTheme="minorHAnsi" w:hAnsi="Arial"/>
                <w:noProof/>
                <w:sz w:val="22"/>
                <w:szCs w:val="22"/>
                <w:lang w:eastAsia="fr-FR"/>
              </w:rPr>
              <w:drawing>
                <wp:inline distT="0" distB="0" distL="0" distR="0" wp14:anchorId="4762DBF6" wp14:editId="6C9AEEC2">
                  <wp:extent cx="4737846" cy="2511872"/>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71866" cy="2529908"/>
                          </a:xfrm>
                          <a:prstGeom prst="rect">
                            <a:avLst/>
                          </a:prstGeom>
                          <a:noFill/>
                        </pic:spPr>
                      </pic:pic>
                    </a:graphicData>
                  </a:graphic>
                </wp:inline>
              </w:drawing>
            </w:r>
          </w:p>
          <w:p w14:paraId="05362C5E" w14:textId="25441DBD" w:rsidR="00002153" w:rsidRPr="000F1326" w:rsidRDefault="000F1326" w:rsidP="000F1326">
            <w:pPr>
              <w:pStyle w:val="Caption"/>
              <w:jc w:val="center"/>
              <w:rPr>
                <w:sz w:val="18"/>
                <w:szCs w:val="18"/>
              </w:rPr>
            </w:pPr>
            <w:r>
              <w:rPr>
                <w:rStyle w:val="SubtleReference"/>
                <w:smallCaps/>
                <w:color w:val="828282" w:themeColor="text1" w:themeTint="A6"/>
                <w:sz w:val="18"/>
                <w:szCs w:val="18"/>
                <w:u w:val="none"/>
              </w:rPr>
              <w:t>F</w:t>
            </w:r>
            <w:r w:rsidRPr="000F1326">
              <w:rPr>
                <w:rStyle w:val="SubtleReference"/>
                <w:smallCaps/>
                <w:color w:val="828282" w:themeColor="text1" w:themeTint="A6"/>
                <w:sz w:val="18"/>
                <w:szCs w:val="18"/>
                <w:u w:val="none"/>
              </w:rPr>
              <w:t xml:space="preserve">igure </w:t>
            </w:r>
            <w:r w:rsidRPr="000525BF">
              <w:rPr>
                <w:rFonts w:ascii="Arial" w:eastAsiaTheme="minorHAnsi" w:hAnsi="Arial"/>
                <w:bCs w:val="0"/>
                <w:i/>
                <w:smallCaps w:val="0"/>
                <w:color w:val="auto"/>
                <w:spacing w:val="0"/>
                <w:sz w:val="16"/>
                <w:szCs w:val="22"/>
              </w:rPr>
              <w:fldChar w:fldCharType="begin"/>
            </w:r>
            <w:r w:rsidRPr="000525BF">
              <w:rPr>
                <w:rFonts w:ascii="Arial" w:eastAsiaTheme="minorHAnsi" w:hAnsi="Arial"/>
                <w:bCs w:val="0"/>
                <w:i/>
                <w:smallCaps w:val="0"/>
                <w:color w:val="auto"/>
                <w:spacing w:val="0"/>
                <w:sz w:val="16"/>
                <w:szCs w:val="22"/>
              </w:rPr>
              <w:instrText xml:space="preserve"> SEQ Graphique \* ARABIC </w:instrText>
            </w:r>
            <w:r w:rsidRPr="000525BF">
              <w:rPr>
                <w:rFonts w:ascii="Arial" w:eastAsiaTheme="minorHAnsi" w:hAnsi="Arial"/>
                <w:bCs w:val="0"/>
                <w:i/>
                <w:smallCaps w:val="0"/>
                <w:color w:val="auto"/>
                <w:spacing w:val="0"/>
                <w:sz w:val="16"/>
                <w:szCs w:val="22"/>
              </w:rPr>
              <w:fldChar w:fldCharType="separate"/>
            </w:r>
            <w:r>
              <w:rPr>
                <w:rFonts w:ascii="Arial" w:eastAsiaTheme="minorHAnsi" w:hAnsi="Arial"/>
                <w:bCs w:val="0"/>
                <w:i/>
                <w:smallCaps w:val="0"/>
                <w:noProof/>
                <w:color w:val="auto"/>
                <w:spacing w:val="0"/>
                <w:sz w:val="16"/>
                <w:szCs w:val="22"/>
              </w:rPr>
              <w:t>3</w:t>
            </w:r>
            <w:r w:rsidRPr="000525BF">
              <w:rPr>
                <w:rFonts w:ascii="Arial" w:eastAsiaTheme="minorHAnsi" w:hAnsi="Arial"/>
                <w:bCs w:val="0"/>
                <w:i/>
                <w:smallCaps w:val="0"/>
                <w:color w:val="auto"/>
                <w:spacing w:val="0"/>
                <w:sz w:val="16"/>
                <w:szCs w:val="22"/>
              </w:rPr>
              <w:fldChar w:fldCharType="end"/>
            </w:r>
            <w:r>
              <w:rPr>
                <w:rStyle w:val="SubtleReference"/>
                <w:smallCaps/>
                <w:color w:val="828282" w:themeColor="text1" w:themeTint="A6"/>
                <w:sz w:val="18"/>
                <w:szCs w:val="18"/>
                <w:u w:val="none"/>
              </w:rPr>
              <w:t xml:space="preserve"> </w:t>
            </w:r>
            <w:r w:rsidRPr="000F1326">
              <w:rPr>
                <w:rStyle w:val="SubtleReference"/>
                <w:smallCaps/>
                <w:color w:val="828282" w:themeColor="text1" w:themeTint="A6"/>
                <w:sz w:val="18"/>
                <w:szCs w:val="18"/>
                <w:u w:val="none"/>
              </w:rPr>
              <w:t xml:space="preserve">: </w:t>
            </w:r>
            <w:r w:rsidR="00002153" w:rsidRPr="000F1326">
              <w:rPr>
                <w:sz w:val="18"/>
                <w:szCs w:val="18"/>
              </w:rPr>
              <w:t>Schéma sur les 3 x 90 (2015 à 2019) selon le Spectrum 2020</w:t>
            </w:r>
          </w:p>
          <w:p w14:paraId="508DB79E" w14:textId="77777777" w:rsidR="005D402E" w:rsidRPr="000525BF" w:rsidRDefault="00581CCB" w:rsidP="00A16CA6">
            <w:pPr>
              <w:pStyle w:val="Texteformulaire"/>
              <w:rPr>
                <w:b/>
                <w:i/>
                <w:iCs/>
                <w:lang w:val="fr-FR"/>
              </w:rPr>
            </w:pPr>
            <w:r w:rsidRPr="00750CA9">
              <w:rPr>
                <w:b/>
                <w:i/>
                <w:lang w:val="fr-FR"/>
              </w:rPr>
              <w:t>Promotion du dépistage :</w:t>
            </w:r>
            <w:r w:rsidR="00A16CA6" w:rsidRPr="000525BF">
              <w:rPr>
                <w:b/>
                <w:i/>
                <w:iCs/>
                <w:lang w:val="fr-FR"/>
              </w:rPr>
              <w:t xml:space="preserve"> </w:t>
            </w:r>
          </w:p>
          <w:p w14:paraId="5141894F" w14:textId="36087F17" w:rsidR="002673B1" w:rsidRPr="00750CA9" w:rsidRDefault="00581CCB" w:rsidP="001B7DE0">
            <w:pPr>
              <w:pStyle w:val="Texteformulaire"/>
            </w:pPr>
            <w:r w:rsidRPr="00750CA9">
              <w:t xml:space="preserve">La </w:t>
            </w:r>
            <w:proofErr w:type="spellStart"/>
            <w:r w:rsidRPr="00750CA9">
              <w:t>connaissance</w:t>
            </w:r>
            <w:proofErr w:type="spellEnd"/>
            <w:r w:rsidRPr="00750CA9">
              <w:t xml:space="preserve"> du </w:t>
            </w:r>
            <w:proofErr w:type="spellStart"/>
            <w:r w:rsidRPr="00750CA9">
              <w:t>statut</w:t>
            </w:r>
            <w:proofErr w:type="spellEnd"/>
            <w:r w:rsidRPr="00750CA9">
              <w:t xml:space="preserve"> </w:t>
            </w:r>
            <w:proofErr w:type="spellStart"/>
            <w:r w:rsidRPr="00750CA9">
              <w:t>sérologique</w:t>
            </w:r>
            <w:proofErr w:type="spellEnd"/>
            <w:r w:rsidRPr="00750CA9">
              <w:t xml:space="preserve"> </w:t>
            </w:r>
            <w:proofErr w:type="spellStart"/>
            <w:r w:rsidRPr="00750CA9">
              <w:t>est</w:t>
            </w:r>
            <w:proofErr w:type="spellEnd"/>
            <w:r w:rsidRPr="00750CA9">
              <w:t xml:space="preserve"> </w:t>
            </w:r>
            <w:proofErr w:type="spellStart"/>
            <w:r w:rsidRPr="00750CA9">
              <w:t>promue</w:t>
            </w:r>
            <w:proofErr w:type="spellEnd"/>
            <w:r w:rsidRPr="00750CA9">
              <w:t xml:space="preserve"> à travers </w:t>
            </w:r>
            <w:proofErr w:type="spellStart"/>
            <w:r w:rsidRPr="00750CA9">
              <w:t>une</w:t>
            </w:r>
            <w:proofErr w:type="spellEnd"/>
            <w:r w:rsidRPr="00750CA9">
              <w:t xml:space="preserve"> </w:t>
            </w:r>
            <w:proofErr w:type="spellStart"/>
            <w:r w:rsidRPr="00750CA9">
              <w:t>offre</w:t>
            </w:r>
            <w:proofErr w:type="spellEnd"/>
            <w:r w:rsidRPr="00750CA9">
              <w:t xml:space="preserve"> </w:t>
            </w:r>
            <w:proofErr w:type="spellStart"/>
            <w:r w:rsidRPr="00750CA9">
              <w:t>diversifiée</w:t>
            </w:r>
            <w:proofErr w:type="spellEnd"/>
            <w:r w:rsidRPr="00750CA9">
              <w:t xml:space="preserve"> : </w:t>
            </w:r>
            <w:proofErr w:type="spellStart"/>
            <w:r w:rsidR="0033471D" w:rsidRPr="00750CA9">
              <w:t>conseil</w:t>
            </w:r>
            <w:proofErr w:type="spellEnd"/>
            <w:r w:rsidR="0033471D" w:rsidRPr="00750CA9">
              <w:t xml:space="preserve"> </w:t>
            </w:r>
            <w:proofErr w:type="spellStart"/>
            <w:r w:rsidR="0033471D" w:rsidRPr="00750CA9">
              <w:t>dépistage</w:t>
            </w:r>
            <w:proofErr w:type="spellEnd"/>
            <w:r w:rsidR="0033471D" w:rsidRPr="00750CA9">
              <w:t xml:space="preserve"> à </w:t>
            </w:r>
            <w:proofErr w:type="spellStart"/>
            <w:r w:rsidR="0033471D" w:rsidRPr="00750CA9">
              <w:t>l’initiative</w:t>
            </w:r>
            <w:proofErr w:type="spellEnd"/>
            <w:r w:rsidR="0033471D" w:rsidRPr="00750CA9">
              <w:t xml:space="preserve"> du </w:t>
            </w:r>
            <w:proofErr w:type="spellStart"/>
            <w:r w:rsidR="0033471D" w:rsidRPr="00750CA9">
              <w:t>prestataire</w:t>
            </w:r>
            <w:proofErr w:type="spellEnd"/>
            <w:r w:rsidR="0033471D" w:rsidRPr="00750CA9">
              <w:t xml:space="preserve"> (</w:t>
            </w:r>
            <w:r w:rsidRPr="00750CA9">
              <w:t>CDIP</w:t>
            </w:r>
            <w:r w:rsidR="0033471D" w:rsidRPr="00750CA9">
              <w:t>)</w:t>
            </w:r>
            <w:r w:rsidRPr="00750CA9">
              <w:t xml:space="preserve"> dans les structures de santé et </w:t>
            </w:r>
            <w:proofErr w:type="spellStart"/>
            <w:r w:rsidRPr="00750CA9">
              <w:t>dépistage</w:t>
            </w:r>
            <w:proofErr w:type="spellEnd"/>
            <w:r w:rsidRPr="00750CA9">
              <w:t xml:space="preserve"> au </w:t>
            </w:r>
            <w:proofErr w:type="spellStart"/>
            <w:r w:rsidRPr="00750CA9">
              <w:t>niveau</w:t>
            </w:r>
            <w:proofErr w:type="spellEnd"/>
            <w:r w:rsidRPr="00750CA9">
              <w:t xml:space="preserve"> </w:t>
            </w:r>
            <w:proofErr w:type="spellStart"/>
            <w:r w:rsidRPr="00750CA9">
              <w:t>communautaire</w:t>
            </w:r>
            <w:proofErr w:type="spellEnd"/>
            <w:r w:rsidRPr="00750CA9">
              <w:t xml:space="preserve">, </w:t>
            </w:r>
            <w:proofErr w:type="spellStart"/>
            <w:r w:rsidR="0033471D" w:rsidRPr="00750CA9">
              <w:t>conseil</w:t>
            </w:r>
            <w:proofErr w:type="spellEnd"/>
            <w:r w:rsidR="0033471D" w:rsidRPr="00750CA9">
              <w:t xml:space="preserve"> </w:t>
            </w:r>
            <w:proofErr w:type="spellStart"/>
            <w:r w:rsidR="0033471D" w:rsidRPr="00750CA9">
              <w:t>dépistage</w:t>
            </w:r>
            <w:proofErr w:type="spellEnd"/>
            <w:r w:rsidR="0033471D" w:rsidRPr="00750CA9">
              <w:t xml:space="preserve"> à </w:t>
            </w:r>
            <w:proofErr w:type="spellStart"/>
            <w:r w:rsidR="0033471D" w:rsidRPr="00750CA9">
              <w:t>l’initiative</w:t>
            </w:r>
            <w:proofErr w:type="spellEnd"/>
            <w:r w:rsidR="0033471D" w:rsidRPr="00750CA9">
              <w:t xml:space="preserve"> d</w:t>
            </w:r>
            <w:r w:rsidR="00373A71" w:rsidRPr="00750CA9">
              <w:t>u</w:t>
            </w:r>
            <w:r w:rsidR="0033471D" w:rsidRPr="00750CA9">
              <w:t xml:space="preserve"> </w:t>
            </w:r>
            <w:proofErr w:type="spellStart"/>
            <w:r w:rsidR="0033471D" w:rsidRPr="00750CA9">
              <w:t>communautaire</w:t>
            </w:r>
            <w:proofErr w:type="spellEnd"/>
            <w:r w:rsidR="0033471D" w:rsidRPr="00750CA9">
              <w:t xml:space="preserve"> (</w:t>
            </w:r>
            <w:r w:rsidRPr="00750CA9">
              <w:t>CDIC</w:t>
            </w:r>
            <w:r w:rsidR="0033471D" w:rsidRPr="00750CA9">
              <w:t>)</w:t>
            </w:r>
            <w:r w:rsidRPr="00750CA9">
              <w:t xml:space="preserve"> dans </w:t>
            </w:r>
            <w:r w:rsidR="00373A71" w:rsidRPr="00750CA9">
              <w:t xml:space="preserve">les structures de santé et </w:t>
            </w:r>
            <w:r w:rsidRPr="00750CA9">
              <w:t xml:space="preserve">les </w:t>
            </w:r>
            <w:proofErr w:type="spellStart"/>
            <w:r w:rsidR="00373A71" w:rsidRPr="00750CA9">
              <w:t>centres</w:t>
            </w:r>
            <w:proofErr w:type="spellEnd"/>
            <w:r w:rsidR="00373A71" w:rsidRPr="00750CA9">
              <w:t xml:space="preserve"> de </w:t>
            </w:r>
            <w:proofErr w:type="spellStart"/>
            <w:r w:rsidR="00373A71" w:rsidRPr="00750CA9">
              <w:t>dépistage</w:t>
            </w:r>
            <w:proofErr w:type="spellEnd"/>
            <w:r w:rsidR="00373A71" w:rsidRPr="00750CA9">
              <w:t xml:space="preserve"> </w:t>
            </w:r>
            <w:proofErr w:type="spellStart"/>
            <w:r w:rsidR="00373A71" w:rsidRPr="00750CA9">
              <w:t>volontaire</w:t>
            </w:r>
            <w:proofErr w:type="spellEnd"/>
            <w:r w:rsidR="00373A71" w:rsidRPr="00750CA9">
              <w:t xml:space="preserve"> (</w:t>
            </w:r>
            <w:r w:rsidRPr="00750CA9">
              <w:t>CDV</w:t>
            </w:r>
            <w:r w:rsidR="00373A71" w:rsidRPr="00750CA9">
              <w:t>)</w:t>
            </w:r>
            <w:r w:rsidRPr="00750CA9">
              <w:t xml:space="preserve"> </w:t>
            </w:r>
            <w:proofErr w:type="spellStart"/>
            <w:r w:rsidRPr="00750CA9">
              <w:t>autonomes</w:t>
            </w:r>
            <w:proofErr w:type="spellEnd"/>
            <w:r w:rsidRPr="00750CA9">
              <w:t xml:space="preserve">, </w:t>
            </w:r>
            <w:proofErr w:type="spellStart"/>
            <w:r w:rsidRPr="00750CA9">
              <w:t>autotest</w:t>
            </w:r>
            <w:proofErr w:type="spellEnd"/>
            <w:r w:rsidRPr="00750CA9">
              <w:t xml:space="preserve"> dans les structures de santé et au </w:t>
            </w:r>
            <w:proofErr w:type="spellStart"/>
            <w:r w:rsidRPr="00750CA9">
              <w:t>niveau</w:t>
            </w:r>
            <w:proofErr w:type="spellEnd"/>
            <w:r w:rsidRPr="00750CA9">
              <w:t xml:space="preserve"> </w:t>
            </w:r>
            <w:proofErr w:type="spellStart"/>
            <w:r w:rsidRPr="00750CA9">
              <w:t>communautaire</w:t>
            </w:r>
            <w:proofErr w:type="spellEnd"/>
            <w:r w:rsidRPr="00750CA9">
              <w:t xml:space="preserve">. </w:t>
            </w:r>
            <w:r w:rsidR="002B745E" w:rsidRPr="00750CA9">
              <w:t xml:space="preserve">La promotion du </w:t>
            </w:r>
            <w:proofErr w:type="spellStart"/>
            <w:r w:rsidR="002B745E" w:rsidRPr="00750CA9">
              <w:t>dépistage</w:t>
            </w:r>
            <w:proofErr w:type="spellEnd"/>
            <w:r w:rsidR="002B745E" w:rsidRPr="00750CA9">
              <w:t xml:space="preserve"> </w:t>
            </w:r>
            <w:proofErr w:type="spellStart"/>
            <w:r w:rsidR="002B745E" w:rsidRPr="00750CA9">
              <w:t>ciblé</w:t>
            </w:r>
            <w:proofErr w:type="spellEnd"/>
            <w:r w:rsidR="002B745E" w:rsidRPr="00750CA9">
              <w:t xml:space="preserve"> des populations les plus </w:t>
            </w:r>
            <w:proofErr w:type="spellStart"/>
            <w:r w:rsidR="002B745E" w:rsidRPr="00750CA9">
              <w:t>exposées</w:t>
            </w:r>
            <w:proofErr w:type="spellEnd"/>
            <w:r w:rsidR="002B745E" w:rsidRPr="00750CA9">
              <w:t xml:space="preserve"> </w:t>
            </w:r>
            <w:proofErr w:type="spellStart"/>
            <w:r w:rsidR="002B745E" w:rsidRPr="00750CA9">
              <w:t>est</w:t>
            </w:r>
            <w:proofErr w:type="spellEnd"/>
            <w:r w:rsidR="002B745E" w:rsidRPr="00750CA9">
              <w:t xml:space="preserve"> au </w:t>
            </w:r>
            <w:proofErr w:type="spellStart"/>
            <w:r w:rsidR="002B745E" w:rsidRPr="00750CA9">
              <w:t>centre</w:t>
            </w:r>
            <w:proofErr w:type="spellEnd"/>
            <w:r w:rsidR="002B745E" w:rsidRPr="00750CA9">
              <w:t xml:space="preserve"> des </w:t>
            </w:r>
            <w:proofErr w:type="spellStart"/>
            <w:r w:rsidR="002B745E" w:rsidRPr="00750CA9">
              <w:t>objectifs</w:t>
            </w:r>
            <w:proofErr w:type="spellEnd"/>
            <w:r w:rsidR="002B745E" w:rsidRPr="00750CA9">
              <w:t>. L</w:t>
            </w:r>
            <w:r w:rsidR="002673B1" w:rsidRPr="00750CA9">
              <w:t xml:space="preserve">a promotion de </w:t>
            </w:r>
            <w:proofErr w:type="spellStart"/>
            <w:r w:rsidR="002673B1" w:rsidRPr="00750CA9">
              <w:t>l’autodépistage</w:t>
            </w:r>
            <w:proofErr w:type="spellEnd"/>
            <w:r w:rsidR="002673B1" w:rsidRPr="00750CA9">
              <w:t xml:space="preserve"> a </w:t>
            </w:r>
            <w:proofErr w:type="spellStart"/>
            <w:r w:rsidR="002673B1" w:rsidRPr="00750CA9">
              <w:t>démarré</w:t>
            </w:r>
            <w:proofErr w:type="spellEnd"/>
            <w:r w:rsidR="002673B1" w:rsidRPr="00750CA9">
              <w:t xml:space="preserve"> à travers les interventions du PEPFAR et du </w:t>
            </w:r>
            <w:proofErr w:type="spellStart"/>
            <w:r w:rsidR="002673B1" w:rsidRPr="00750CA9">
              <w:t>projet</w:t>
            </w:r>
            <w:proofErr w:type="spellEnd"/>
            <w:r w:rsidR="002673B1" w:rsidRPr="00750CA9">
              <w:t xml:space="preserve"> ATLAS </w:t>
            </w:r>
            <w:proofErr w:type="spellStart"/>
            <w:r w:rsidR="002673B1" w:rsidRPr="00750CA9">
              <w:t>en</w:t>
            </w:r>
            <w:proofErr w:type="spellEnd"/>
            <w:r w:rsidR="002673B1" w:rsidRPr="00750CA9">
              <w:t xml:space="preserve"> 2019, </w:t>
            </w:r>
            <w:proofErr w:type="spellStart"/>
            <w:r w:rsidR="002673B1" w:rsidRPr="00750CA9">
              <w:t>comme</w:t>
            </w:r>
            <w:proofErr w:type="spellEnd"/>
            <w:r w:rsidR="002673B1" w:rsidRPr="00750CA9">
              <w:t xml:space="preserve"> </w:t>
            </w:r>
            <w:proofErr w:type="spellStart"/>
            <w:r w:rsidR="002673B1" w:rsidRPr="00750CA9">
              <w:t>stratégie</w:t>
            </w:r>
            <w:proofErr w:type="spellEnd"/>
            <w:r w:rsidR="002673B1" w:rsidRPr="00750CA9">
              <w:t xml:space="preserve"> pour toucher des </w:t>
            </w:r>
            <w:proofErr w:type="spellStart"/>
            <w:r w:rsidR="002673B1" w:rsidRPr="00750CA9">
              <w:t>personnes</w:t>
            </w:r>
            <w:proofErr w:type="spellEnd"/>
            <w:r w:rsidR="002673B1" w:rsidRPr="00750CA9">
              <w:t xml:space="preserve"> </w:t>
            </w:r>
            <w:proofErr w:type="spellStart"/>
            <w:r w:rsidR="002673B1" w:rsidRPr="00750CA9">
              <w:t>difficiles</w:t>
            </w:r>
            <w:proofErr w:type="spellEnd"/>
            <w:r w:rsidR="002673B1" w:rsidRPr="00750CA9">
              <w:t xml:space="preserve"> à </w:t>
            </w:r>
            <w:proofErr w:type="spellStart"/>
            <w:r w:rsidR="002673B1" w:rsidRPr="00750CA9">
              <w:t>capter</w:t>
            </w:r>
            <w:proofErr w:type="spellEnd"/>
            <w:r w:rsidR="002673B1" w:rsidRPr="00750CA9">
              <w:t xml:space="preserve"> à travers les </w:t>
            </w:r>
            <w:proofErr w:type="spellStart"/>
            <w:r w:rsidR="002673B1" w:rsidRPr="00750CA9">
              <w:t>approches</w:t>
            </w:r>
            <w:proofErr w:type="spellEnd"/>
            <w:r w:rsidR="002673B1" w:rsidRPr="00750CA9">
              <w:t xml:space="preserve"> </w:t>
            </w:r>
            <w:proofErr w:type="spellStart"/>
            <w:r w:rsidR="002673B1" w:rsidRPr="00750CA9">
              <w:t>classiques</w:t>
            </w:r>
            <w:proofErr w:type="spellEnd"/>
            <w:r w:rsidR="002673B1" w:rsidRPr="00750CA9">
              <w:t xml:space="preserve">. </w:t>
            </w:r>
          </w:p>
          <w:p w14:paraId="5ED3C59F" w14:textId="7A581A79" w:rsidR="00096538" w:rsidRDefault="00581CCB" w:rsidP="00390EA4">
            <w:pPr>
              <w:pStyle w:val="Texteformulaire"/>
              <w:rPr>
                <w:lang w:val="fr-FR"/>
              </w:rPr>
            </w:pPr>
            <w:r w:rsidRPr="00390EA4">
              <w:rPr>
                <w:lang w:val="fr-FR"/>
              </w:rPr>
              <w:t xml:space="preserve">On estimait </w:t>
            </w:r>
            <w:r w:rsidR="00E06C47" w:rsidRPr="00750CA9">
              <w:rPr>
                <w:lang w:val="fr-FR"/>
              </w:rPr>
              <w:t xml:space="preserve">en fin 2019, </w:t>
            </w:r>
            <w:r w:rsidR="00A16CA6" w:rsidRPr="00390EA4">
              <w:rPr>
                <w:lang w:val="fr-FR"/>
              </w:rPr>
              <w:t xml:space="preserve">le </w:t>
            </w:r>
            <w:r w:rsidR="00A16CA6" w:rsidRPr="00390EA4">
              <w:rPr>
                <w:b/>
                <w:lang w:val="fr-FR"/>
              </w:rPr>
              <w:t>1</w:t>
            </w:r>
            <w:r w:rsidR="00A16CA6" w:rsidRPr="00390EA4">
              <w:rPr>
                <w:b/>
                <w:vertAlign w:val="superscript"/>
                <w:lang w:val="fr-FR"/>
              </w:rPr>
              <w:t>er</w:t>
            </w:r>
            <w:r w:rsidR="0022705A" w:rsidRPr="00390EA4">
              <w:rPr>
                <w:b/>
                <w:lang w:val="fr-FR"/>
              </w:rPr>
              <w:t xml:space="preserve"> </w:t>
            </w:r>
            <w:r w:rsidR="00A16CA6" w:rsidRPr="00390EA4">
              <w:rPr>
                <w:b/>
                <w:lang w:val="fr-FR"/>
              </w:rPr>
              <w:t>90 à</w:t>
            </w:r>
            <w:r w:rsidRPr="00390EA4">
              <w:rPr>
                <w:b/>
                <w:lang w:val="fr-FR"/>
              </w:rPr>
              <w:t xml:space="preserve"> </w:t>
            </w:r>
            <w:r w:rsidR="00F13C05" w:rsidRPr="00084F75">
              <w:rPr>
                <w:b/>
                <w:lang w:val="fr-FR"/>
              </w:rPr>
              <w:t>79</w:t>
            </w:r>
            <w:r w:rsidRPr="00390EA4">
              <w:rPr>
                <w:b/>
                <w:lang w:val="fr-FR"/>
              </w:rPr>
              <w:t>%</w:t>
            </w:r>
            <w:r w:rsidR="008B69F9">
              <w:rPr>
                <w:b/>
                <w:lang w:val="fr-FR"/>
              </w:rPr>
              <w:t xml:space="preserve"> </w:t>
            </w:r>
            <w:r w:rsidR="008B69F9" w:rsidRPr="008B69F9">
              <w:rPr>
                <w:bCs/>
                <w:lang w:val="fr-FR"/>
              </w:rPr>
              <w:t>(</w:t>
            </w:r>
            <w:r w:rsidR="008B69F9" w:rsidRPr="000820F1">
              <w:t>74% chez les hommes</w:t>
            </w:r>
            <w:r w:rsidR="008B69F9">
              <w:t xml:space="preserve"> </w:t>
            </w:r>
            <w:r w:rsidR="008B69F9">
              <w:rPr>
                <w:rFonts w:cs="Arial"/>
              </w:rPr>
              <w:t>≥</w:t>
            </w:r>
            <w:r w:rsidR="008B69F9">
              <w:t xml:space="preserve"> 15 </w:t>
            </w:r>
            <w:proofErr w:type="spellStart"/>
            <w:r w:rsidR="008B69F9">
              <w:t>ans</w:t>
            </w:r>
            <w:proofErr w:type="spellEnd"/>
            <w:r w:rsidR="008B69F9">
              <w:t xml:space="preserve">, </w:t>
            </w:r>
            <w:r w:rsidR="008B69F9" w:rsidRPr="000820F1">
              <w:t>82% chez les femmes</w:t>
            </w:r>
            <w:r w:rsidR="008B69F9">
              <w:t xml:space="preserve"> </w:t>
            </w:r>
            <w:r w:rsidR="008B69F9">
              <w:rPr>
                <w:rFonts w:cs="Arial"/>
              </w:rPr>
              <w:t>≥</w:t>
            </w:r>
            <w:r w:rsidR="008B69F9">
              <w:t xml:space="preserve"> 15 </w:t>
            </w:r>
            <w:proofErr w:type="spellStart"/>
            <w:r w:rsidR="008B69F9">
              <w:t>ans</w:t>
            </w:r>
            <w:proofErr w:type="spellEnd"/>
            <w:r w:rsidR="008B69F9">
              <w:t xml:space="preserve"> et </w:t>
            </w:r>
            <w:r w:rsidR="008B69F9" w:rsidRPr="000820F1">
              <w:t xml:space="preserve">50% chez les 0-14 </w:t>
            </w:r>
            <w:proofErr w:type="spellStart"/>
            <w:r w:rsidR="008B69F9" w:rsidRPr="000820F1">
              <w:t>ans</w:t>
            </w:r>
            <w:proofErr w:type="spellEnd"/>
            <w:r w:rsidR="008B69F9">
              <w:t>)</w:t>
            </w:r>
            <w:r w:rsidRPr="00390EA4">
              <w:rPr>
                <w:lang w:val="fr-FR"/>
              </w:rPr>
              <w:t>, en nette progression par rapport à fin 2018 (</w:t>
            </w:r>
            <w:r w:rsidR="00E06C47" w:rsidRPr="009954DA">
              <w:rPr>
                <w:color w:val="FF0000"/>
                <w:lang w:val="fr-FR"/>
              </w:rPr>
              <w:t>6</w:t>
            </w:r>
            <w:r w:rsidR="009954DA" w:rsidRPr="009954DA">
              <w:rPr>
                <w:color w:val="FF0000"/>
                <w:lang w:val="fr-FR"/>
              </w:rPr>
              <w:t>9</w:t>
            </w:r>
            <w:r w:rsidRPr="009954DA">
              <w:rPr>
                <w:color w:val="FF0000"/>
                <w:lang w:val="fr-FR"/>
              </w:rPr>
              <w:t>%</w:t>
            </w:r>
            <w:r w:rsidRPr="00750CA9">
              <w:rPr>
                <w:lang w:val="fr-FR"/>
              </w:rPr>
              <w:t xml:space="preserve">). </w:t>
            </w:r>
            <w:bookmarkStart w:id="9" w:name="_Hlk40273601"/>
            <w:r w:rsidR="007324F1">
              <w:rPr>
                <w:lang w:val="fr-FR"/>
              </w:rPr>
              <w:t>L</w:t>
            </w:r>
            <w:r w:rsidR="00096538">
              <w:rPr>
                <w:lang w:val="fr-FR"/>
              </w:rPr>
              <w:t>’écart programmatique se situant pour 80% dans 28 DS</w:t>
            </w:r>
            <w:r w:rsidR="00373A71">
              <w:rPr>
                <w:lang w:val="fr-FR"/>
              </w:rPr>
              <w:t>, ciblés comme prioritaires dans le PSN</w:t>
            </w:r>
            <w:r w:rsidR="00096538">
              <w:rPr>
                <w:lang w:val="fr-FR"/>
              </w:rPr>
              <w:t xml:space="preserve"> </w:t>
            </w:r>
            <w:r w:rsidR="00096538" w:rsidRPr="00084F75">
              <w:rPr>
                <w:i/>
                <w:iCs/>
                <w:lang w:val="fr-FR"/>
              </w:rPr>
              <w:t>(</w:t>
            </w:r>
            <w:r w:rsidR="00084F75" w:rsidRPr="00084F75">
              <w:rPr>
                <w:i/>
                <w:iCs/>
                <w:lang w:val="fr-FR"/>
              </w:rPr>
              <w:t>Annexe 1</w:t>
            </w:r>
            <w:r w:rsidR="00096538" w:rsidRPr="00084F75">
              <w:rPr>
                <w:i/>
                <w:iCs/>
                <w:lang w:val="fr-FR"/>
              </w:rPr>
              <w:t>)</w:t>
            </w:r>
            <w:bookmarkEnd w:id="9"/>
            <w:r w:rsidR="00096538">
              <w:rPr>
                <w:lang w:val="fr-FR"/>
              </w:rPr>
              <w:t>.</w:t>
            </w:r>
            <w:r w:rsidRPr="00474FC8">
              <w:rPr>
                <w:lang w:val="fr-FR"/>
              </w:rPr>
              <w:t xml:space="preserve"> </w:t>
            </w:r>
            <w:r w:rsidR="005D402E">
              <w:rPr>
                <w:lang w:val="fr-FR"/>
              </w:rPr>
              <w:t xml:space="preserve">Selon une étude menée par l’Université de Genève, </w:t>
            </w:r>
            <w:r w:rsidR="005D402E" w:rsidRPr="00390EA4">
              <w:rPr>
                <w:lang w:val="fr-FR"/>
              </w:rPr>
              <w:t>l</w:t>
            </w:r>
            <w:r w:rsidR="0033471D" w:rsidRPr="00390EA4">
              <w:rPr>
                <w:lang w:val="fr-FR"/>
              </w:rPr>
              <w:t>’accès géographi</w:t>
            </w:r>
            <w:r w:rsidR="00877452">
              <w:rPr>
                <w:lang w:val="fr-FR"/>
              </w:rPr>
              <w:t>q</w:t>
            </w:r>
            <w:r w:rsidR="008B69F9">
              <w:rPr>
                <w:lang w:val="fr-FR"/>
              </w:rPr>
              <w:t>u</w:t>
            </w:r>
            <w:r w:rsidR="0033471D" w:rsidRPr="00390EA4">
              <w:rPr>
                <w:lang w:val="fr-FR"/>
              </w:rPr>
              <w:t xml:space="preserve">e à l’offre de service </w:t>
            </w:r>
            <w:r w:rsidR="002B745E" w:rsidRPr="00390EA4">
              <w:rPr>
                <w:lang w:val="fr-FR"/>
              </w:rPr>
              <w:t>ne semble pas constituer un d</w:t>
            </w:r>
            <w:r w:rsidR="0033471D" w:rsidRPr="00390EA4">
              <w:rPr>
                <w:lang w:val="fr-FR"/>
              </w:rPr>
              <w:t>éfi</w:t>
            </w:r>
            <w:r w:rsidR="002B745E" w:rsidRPr="00390EA4">
              <w:rPr>
                <w:lang w:val="fr-FR"/>
              </w:rPr>
              <w:t xml:space="preserve"> majeur, même si</w:t>
            </w:r>
            <w:r w:rsidR="0033471D" w:rsidRPr="00390EA4">
              <w:rPr>
                <w:lang w:val="fr-FR"/>
              </w:rPr>
              <w:t xml:space="preserve"> 50% de la pop </w:t>
            </w:r>
            <w:r w:rsidR="002B745E" w:rsidRPr="00390EA4">
              <w:rPr>
                <w:lang w:val="fr-FR"/>
              </w:rPr>
              <w:t xml:space="preserve">vit </w:t>
            </w:r>
            <w:r w:rsidR="0033471D" w:rsidRPr="00390EA4">
              <w:rPr>
                <w:lang w:val="fr-FR"/>
              </w:rPr>
              <w:t>à plus de 30 mn de marche d’un site</w:t>
            </w:r>
            <w:r w:rsidR="005D402E" w:rsidRPr="00390EA4">
              <w:rPr>
                <w:lang w:val="fr-FR"/>
              </w:rPr>
              <w:t xml:space="preserve"> de dépistage (</w:t>
            </w:r>
            <w:r w:rsidR="0033471D" w:rsidRPr="00390EA4">
              <w:rPr>
                <w:lang w:val="fr-FR"/>
              </w:rPr>
              <w:t xml:space="preserve">sauf </w:t>
            </w:r>
            <w:r w:rsidR="005D402E" w:rsidRPr="00390EA4">
              <w:rPr>
                <w:lang w:val="fr-FR"/>
              </w:rPr>
              <w:t xml:space="preserve">dans les régions </w:t>
            </w:r>
            <w:r w:rsidR="0033471D" w:rsidRPr="00390EA4">
              <w:rPr>
                <w:lang w:val="fr-FR"/>
              </w:rPr>
              <w:t xml:space="preserve">Abidjan 1, 2 et </w:t>
            </w:r>
            <w:proofErr w:type="spellStart"/>
            <w:r w:rsidR="0033471D" w:rsidRPr="00390EA4">
              <w:rPr>
                <w:lang w:val="fr-FR"/>
              </w:rPr>
              <w:t>Indenie-Djuablin</w:t>
            </w:r>
            <w:proofErr w:type="spellEnd"/>
            <w:r w:rsidR="0033471D" w:rsidRPr="00390EA4">
              <w:rPr>
                <w:lang w:val="fr-FR"/>
              </w:rPr>
              <w:t>)</w:t>
            </w:r>
            <w:r w:rsidR="005D402E" w:rsidRPr="00390EA4">
              <w:rPr>
                <w:lang w:val="fr-FR"/>
              </w:rPr>
              <w:t>.</w:t>
            </w:r>
          </w:p>
          <w:p w14:paraId="45F12ABB" w14:textId="678D055A" w:rsidR="00581CCB" w:rsidRDefault="00581CCB" w:rsidP="00390EA4">
            <w:pPr>
              <w:pStyle w:val="Texteformulaire"/>
              <w:rPr>
                <w:lang w:val="fr-FR"/>
              </w:rPr>
            </w:pPr>
            <w:r w:rsidRPr="00390EA4">
              <w:rPr>
                <w:lang w:val="fr-FR"/>
              </w:rPr>
              <w:lastRenderedPageBreak/>
              <w:t>Le dépistage VIH doit néanmoins faire face à plusieurs défis majeurs : (i) la qualité de la mise en œuvre du dépistage, qu’il s’agisse du dépistage par un tiers ou de l’autotest</w:t>
            </w:r>
            <w:r w:rsidR="001E2926" w:rsidRPr="00750CA9">
              <w:rPr>
                <w:lang w:val="fr-FR"/>
              </w:rPr>
              <w:t xml:space="preserve"> incluant une meilleure orientation sur les populations les plus à risque</w:t>
            </w:r>
            <w:r w:rsidRPr="00750CA9">
              <w:rPr>
                <w:lang w:val="fr-FR"/>
              </w:rPr>
              <w:t> </w:t>
            </w:r>
            <w:r w:rsidR="0022705A">
              <w:rPr>
                <w:lang w:val="fr-FR"/>
              </w:rPr>
              <w:t> ;</w:t>
            </w:r>
            <w:r w:rsidRPr="00390EA4">
              <w:rPr>
                <w:lang w:val="fr-FR"/>
              </w:rPr>
              <w:t xml:space="preserve"> (ii) le passage à l’échelle de l'approche de dépistage démédicalisé (communautaire) à l’endroit des populations cibles ; (iii) la mise en place d’un système de traçabilité des données communautaires dans le SNIS ; (iv) la généralisation de l’offre du dépistage VIH dans les structures de santé privées (intégration ; système de référence); et (v) </w:t>
            </w:r>
            <w:r w:rsidR="000A6B40" w:rsidRPr="00750CA9">
              <w:rPr>
                <w:lang w:val="fr-FR"/>
              </w:rPr>
              <w:t xml:space="preserve">le changement de conception sur le VIH pour accroitre </w:t>
            </w:r>
            <w:r w:rsidRPr="00390EA4">
              <w:rPr>
                <w:lang w:val="fr-FR"/>
              </w:rPr>
              <w:t>l’utilisation  des services de dépistage VIH par les populations clés et vulnérables.</w:t>
            </w:r>
          </w:p>
          <w:p w14:paraId="4E0395F7" w14:textId="77777777" w:rsidR="005D402E" w:rsidRPr="00750CA9" w:rsidRDefault="00581CCB" w:rsidP="00A16CA6">
            <w:pPr>
              <w:pStyle w:val="Texteformulaire"/>
              <w:rPr>
                <w:i/>
                <w:lang w:val="fr-FR"/>
              </w:rPr>
            </w:pPr>
            <w:r w:rsidRPr="00750CA9">
              <w:rPr>
                <w:b/>
                <w:i/>
                <w:lang w:val="fr-FR"/>
              </w:rPr>
              <w:t>Traitement et r</w:t>
            </w:r>
            <w:r w:rsidR="00A16CA6" w:rsidRPr="00750CA9">
              <w:rPr>
                <w:b/>
                <w:i/>
                <w:lang w:val="fr-FR"/>
              </w:rPr>
              <w:t>é</w:t>
            </w:r>
            <w:r w:rsidRPr="00750CA9">
              <w:rPr>
                <w:b/>
                <w:i/>
                <w:lang w:val="fr-FR"/>
              </w:rPr>
              <w:t>tention dans les soins</w:t>
            </w:r>
            <w:r w:rsidRPr="00750CA9">
              <w:rPr>
                <w:i/>
                <w:lang w:val="fr-FR"/>
              </w:rPr>
              <w:t xml:space="preserve"> : </w:t>
            </w:r>
          </w:p>
          <w:p w14:paraId="3B990F1E" w14:textId="2CE7DBCF" w:rsidR="00581CCB" w:rsidRPr="00750CA9" w:rsidRDefault="00581CCB" w:rsidP="00390EA4">
            <w:pPr>
              <w:pStyle w:val="Texteformulaire"/>
              <w:rPr>
                <w:lang w:val="fr-FR"/>
              </w:rPr>
            </w:pPr>
            <w:r w:rsidRPr="00750CA9">
              <w:rPr>
                <w:lang w:val="fr-FR"/>
              </w:rPr>
              <w:t>Dans le cadre de la stratégie nationale d’atteinte des 3</w:t>
            </w:r>
            <w:r w:rsidR="00A16CA6" w:rsidRPr="00750CA9">
              <w:rPr>
                <w:lang w:val="fr-FR"/>
              </w:rPr>
              <w:t>x</w:t>
            </w:r>
            <w:r w:rsidRPr="00750CA9">
              <w:rPr>
                <w:lang w:val="fr-FR"/>
              </w:rPr>
              <w:t xml:space="preserve">90, </w:t>
            </w:r>
            <w:r w:rsidR="00E46918" w:rsidRPr="00750CA9">
              <w:rPr>
                <w:lang w:val="fr-FR"/>
              </w:rPr>
              <w:t xml:space="preserve">on estimait </w:t>
            </w:r>
            <w:r w:rsidRPr="00750CA9">
              <w:rPr>
                <w:lang w:val="fr-FR"/>
              </w:rPr>
              <w:t xml:space="preserve">le </w:t>
            </w:r>
            <w:r w:rsidRPr="00750CA9">
              <w:rPr>
                <w:b/>
                <w:lang w:val="fr-FR"/>
              </w:rPr>
              <w:t>2</w:t>
            </w:r>
            <w:r w:rsidR="00A16CA6" w:rsidRPr="00750CA9">
              <w:rPr>
                <w:b/>
                <w:vertAlign w:val="superscript"/>
                <w:lang w:val="fr-FR"/>
              </w:rPr>
              <w:t>è</w:t>
            </w:r>
            <w:r w:rsidRPr="00750CA9">
              <w:rPr>
                <w:b/>
                <w:vertAlign w:val="superscript"/>
                <w:lang w:val="fr-FR"/>
              </w:rPr>
              <w:t>me</w:t>
            </w:r>
            <w:r w:rsidR="00373A71" w:rsidRPr="00750CA9">
              <w:rPr>
                <w:b/>
                <w:lang w:val="fr-FR"/>
              </w:rPr>
              <w:t xml:space="preserve"> </w:t>
            </w:r>
            <w:r w:rsidRPr="00750CA9">
              <w:rPr>
                <w:b/>
                <w:lang w:val="fr-FR"/>
              </w:rPr>
              <w:t>90 à</w:t>
            </w:r>
            <w:r w:rsidRPr="00750CA9">
              <w:rPr>
                <w:lang w:val="fr-FR"/>
              </w:rPr>
              <w:t xml:space="preserve"> </w:t>
            </w:r>
            <w:r w:rsidRPr="00750CA9">
              <w:rPr>
                <w:b/>
                <w:lang w:val="fr-FR"/>
              </w:rPr>
              <w:t>63%</w:t>
            </w:r>
            <w:r w:rsidRPr="00750CA9">
              <w:rPr>
                <w:lang w:val="fr-FR"/>
              </w:rPr>
              <w:t xml:space="preserve"> </w:t>
            </w:r>
            <w:r w:rsidRPr="00750CA9">
              <w:rPr>
                <w:lang w:val="fr-CH"/>
              </w:rPr>
              <w:t xml:space="preserve">et le </w:t>
            </w:r>
            <w:r w:rsidRPr="00750CA9">
              <w:rPr>
                <w:b/>
                <w:bCs/>
                <w:lang w:val="fr-CH"/>
              </w:rPr>
              <w:t>3ème à 4</w:t>
            </w:r>
            <w:r w:rsidR="00E06C47" w:rsidRPr="00750CA9">
              <w:rPr>
                <w:b/>
                <w:bCs/>
                <w:lang w:val="fr-CH"/>
              </w:rPr>
              <w:t>5</w:t>
            </w:r>
            <w:r w:rsidRPr="00750CA9">
              <w:rPr>
                <w:b/>
                <w:bCs/>
                <w:lang w:val="fr-CH"/>
              </w:rPr>
              <w:t>%</w:t>
            </w:r>
            <w:r w:rsidR="00E46918" w:rsidRPr="00750CA9">
              <w:rPr>
                <w:lang w:val="fr-CH"/>
              </w:rPr>
              <w:t xml:space="preserve"> </w:t>
            </w:r>
            <w:r w:rsidR="00E46918" w:rsidRPr="00750CA9">
              <w:rPr>
                <w:lang w:val="fr-FR"/>
              </w:rPr>
              <w:t>fin 2019</w:t>
            </w:r>
            <w:r w:rsidR="00516FA6">
              <w:rPr>
                <w:lang w:val="fr-FR"/>
              </w:rPr>
              <w:t xml:space="preserve"> </w:t>
            </w:r>
            <w:r w:rsidR="00084F75" w:rsidRPr="00084F75">
              <w:rPr>
                <w:i/>
                <w:iCs/>
                <w:lang w:val="fr-FR"/>
              </w:rPr>
              <w:t>(Annexe 1)</w:t>
            </w:r>
            <w:r w:rsidRPr="00D53A20">
              <w:rPr>
                <w:lang w:val="fr-FR"/>
              </w:rPr>
              <w:t>.</w:t>
            </w:r>
            <w:r w:rsidRPr="00750CA9">
              <w:rPr>
                <w:i/>
                <w:lang w:val="fr-FR"/>
              </w:rPr>
              <w:t xml:space="preserve"> </w:t>
            </w:r>
            <w:r w:rsidRPr="00750CA9">
              <w:rPr>
                <w:lang w:val="fr-FR"/>
              </w:rPr>
              <w:t xml:space="preserve">La file active des personnes traitées par ARV et suivies était estimée en 2019 à </w:t>
            </w:r>
            <w:r w:rsidRPr="00750CA9">
              <w:rPr>
                <w:b/>
                <w:lang w:val="fr-FR"/>
              </w:rPr>
              <w:t>26</w:t>
            </w:r>
            <w:r w:rsidR="00E46918" w:rsidRPr="00750CA9">
              <w:rPr>
                <w:b/>
                <w:lang w:val="fr-FR"/>
              </w:rPr>
              <w:t>9</w:t>
            </w:r>
            <w:r w:rsidRPr="00750CA9">
              <w:rPr>
                <w:b/>
                <w:lang w:val="fr-FR"/>
              </w:rPr>
              <w:t xml:space="preserve"> </w:t>
            </w:r>
            <w:r w:rsidR="00E46918" w:rsidRPr="00750CA9">
              <w:rPr>
                <w:b/>
                <w:lang w:val="fr-FR"/>
              </w:rPr>
              <w:t>1</w:t>
            </w:r>
            <w:r w:rsidRPr="00750CA9">
              <w:rPr>
                <w:b/>
                <w:lang w:val="fr-FR"/>
              </w:rPr>
              <w:t>3</w:t>
            </w:r>
            <w:r w:rsidR="00E46918" w:rsidRPr="00750CA9">
              <w:rPr>
                <w:b/>
                <w:lang w:val="fr-FR"/>
              </w:rPr>
              <w:t>5</w:t>
            </w:r>
            <w:r w:rsidRPr="00750CA9">
              <w:rPr>
                <w:b/>
                <w:lang w:val="fr-FR"/>
              </w:rPr>
              <w:t xml:space="preserve"> PVVIH</w:t>
            </w:r>
            <w:r w:rsidRPr="00750CA9">
              <w:rPr>
                <w:lang w:val="fr-FR"/>
              </w:rPr>
              <w:t xml:space="preserve"> parmi les adultes, contre 185 525 en 2016. Le nombre de formations sanitaires offrant une PEC ARV adulte est passé de 1006 en 2016 à 1856 en 2018 pour atteindre 2 242 en 2019. Malgré le renforcement de l’offre de TARV pour les enfants, le rythme d’accroissement des sites de prise en charge pédiatrique (1 327 sites en 2018 et 1 126 en 2019) ne suit pas celui des adultes, alors que la prise en charge adulte et pédiatrique devrait être intégrée. La file active des enfants traités par ARV est ainsi passée de 9 154 (25%) en 2016 à </w:t>
            </w:r>
            <w:r w:rsidRPr="00750CA9">
              <w:rPr>
                <w:b/>
                <w:lang w:val="fr-FR"/>
              </w:rPr>
              <w:t>10 442</w:t>
            </w:r>
            <w:r w:rsidRPr="00750CA9">
              <w:rPr>
                <w:lang w:val="fr-FR"/>
              </w:rPr>
              <w:t xml:space="preserve"> (37%) en 2019, largement en-deçà de la cible de 90% du PSN. S‘agissant des populations clés</w:t>
            </w:r>
            <w:r w:rsidR="00E06C47" w:rsidRPr="00750CA9">
              <w:rPr>
                <w:lang w:val="fr-FR"/>
              </w:rPr>
              <w:t xml:space="preserve"> dépistées positives au VIH</w:t>
            </w:r>
            <w:r w:rsidRPr="00750CA9">
              <w:rPr>
                <w:lang w:val="fr-FR"/>
              </w:rPr>
              <w:t>, l</w:t>
            </w:r>
            <w:r w:rsidR="00E06C47" w:rsidRPr="00750CA9">
              <w:rPr>
                <w:lang w:val="fr-FR"/>
              </w:rPr>
              <w:t>a mise sous</w:t>
            </w:r>
            <w:r w:rsidRPr="00750CA9">
              <w:rPr>
                <w:lang w:val="fr-FR"/>
              </w:rPr>
              <w:t xml:space="preserve"> TARV était de 44% p</w:t>
            </w:r>
            <w:r w:rsidR="00C2004F">
              <w:rPr>
                <w:lang w:val="fr-FR"/>
              </w:rPr>
              <w:t>a</w:t>
            </w:r>
            <w:r w:rsidRPr="00750CA9">
              <w:rPr>
                <w:lang w:val="fr-FR"/>
              </w:rPr>
              <w:t>r</w:t>
            </w:r>
            <w:r w:rsidR="00C2004F">
              <w:rPr>
                <w:lang w:val="fr-FR"/>
              </w:rPr>
              <w:t>mi</w:t>
            </w:r>
            <w:r w:rsidRPr="00750CA9">
              <w:rPr>
                <w:lang w:val="fr-FR"/>
              </w:rPr>
              <w:t xml:space="preserve"> les HSH</w:t>
            </w:r>
            <w:r w:rsidR="00E06C47" w:rsidRPr="00750CA9">
              <w:rPr>
                <w:lang w:val="fr-FR"/>
              </w:rPr>
              <w:t>, 72% pour les UD</w:t>
            </w:r>
            <w:r w:rsidRPr="00750CA9">
              <w:rPr>
                <w:lang w:val="fr-FR"/>
              </w:rPr>
              <w:t xml:space="preserve"> et de 62% pour les TS en 2019.</w:t>
            </w:r>
            <w:r w:rsidR="00373A71" w:rsidRPr="00750CA9">
              <w:rPr>
                <w:lang w:val="fr-FR"/>
              </w:rPr>
              <w:t xml:space="preserve"> L’écart programmatique pour la couverture en TARV est concentré pour 80% dans 30 DS, ciblés comme prioritaires dans le PSN (</w:t>
            </w:r>
            <w:r w:rsidR="00777F1D" w:rsidRPr="00084F75">
              <w:rPr>
                <w:i/>
                <w:iCs/>
                <w:lang w:val="fr-FR"/>
              </w:rPr>
              <w:t>cf. tableau 2, section 2.1</w:t>
            </w:r>
            <w:r w:rsidR="00373A71" w:rsidRPr="00750CA9">
              <w:rPr>
                <w:lang w:val="fr-FR"/>
              </w:rPr>
              <w:t>).</w:t>
            </w:r>
          </w:p>
          <w:p w14:paraId="3CA6520A" w14:textId="353E42D9" w:rsidR="00581CCB" w:rsidRPr="00750CA9" w:rsidRDefault="00581CCB" w:rsidP="00390EA4">
            <w:pPr>
              <w:pStyle w:val="Texteformulaire"/>
              <w:rPr>
                <w:lang w:val="fr-FR"/>
              </w:rPr>
            </w:pPr>
            <w:r w:rsidRPr="00750CA9">
              <w:rPr>
                <w:lang w:val="fr-FR"/>
              </w:rPr>
              <w:t>Pour améliorer les performances, la PEC doit surmonter les défis suivants : (i) l’amélioration du lien au traitement des personnes nouvellement dépistées VIH+, grâce à la contribution communautaire (pair-navigation), pour éviter les perdus de vue précoces ; (ii) le passage à l’échelle effective de la délégation des tâches et du « traiter tous », qui contribuent à accroitre quantitativement et qualitativement la prise en charge des PVVIH ; (i</w:t>
            </w:r>
            <w:r w:rsidR="00CC00E0" w:rsidRPr="00750CA9">
              <w:rPr>
                <w:lang w:val="fr-FR"/>
              </w:rPr>
              <w:t>ii</w:t>
            </w:r>
            <w:r w:rsidRPr="00750CA9">
              <w:rPr>
                <w:lang w:val="fr-FR"/>
              </w:rPr>
              <w:t>) l’intégration de la PEC ARV (initiation des ARV et suivi clinique) dans des sites communautaires qui seront soutenus et renforcés pour le faire, ainsi que dans le secteur privé ; (</w:t>
            </w:r>
            <w:r w:rsidR="00CC00E0" w:rsidRPr="00750CA9">
              <w:rPr>
                <w:lang w:val="fr-FR"/>
              </w:rPr>
              <w:t>i</w:t>
            </w:r>
            <w:r w:rsidRPr="00750CA9">
              <w:rPr>
                <w:lang w:val="fr-FR"/>
              </w:rPr>
              <w:t xml:space="preserve">v) le renforcement du lien entre les formation sanitaires et les organisations </w:t>
            </w:r>
            <w:r w:rsidRPr="00B07FA0">
              <w:rPr>
                <w:lang w:val="fr-FR"/>
              </w:rPr>
              <w:t>communautaire</w:t>
            </w:r>
            <w:r w:rsidR="001E2926" w:rsidRPr="00B07FA0">
              <w:rPr>
                <w:lang w:val="fr-FR"/>
              </w:rPr>
              <w:t>s</w:t>
            </w:r>
            <w:r w:rsidR="004A103D">
              <w:rPr>
                <w:lang w:val="fr-FR"/>
              </w:rPr>
              <w:t xml:space="preserve"> </w:t>
            </w:r>
            <w:r w:rsidR="00F206E9">
              <w:rPr>
                <w:lang w:val="fr-FR"/>
              </w:rPr>
              <w:t>(</w:t>
            </w:r>
            <w:r w:rsidR="00373A71" w:rsidRPr="00B07FA0">
              <w:rPr>
                <w:lang w:val="fr-FR"/>
              </w:rPr>
              <w:t>OBC</w:t>
            </w:r>
            <w:r w:rsidR="00F206E9">
              <w:rPr>
                <w:lang w:val="fr-FR"/>
              </w:rPr>
              <w:t>)</w:t>
            </w:r>
            <w:r w:rsidRPr="00750CA9">
              <w:rPr>
                <w:lang w:val="fr-FR"/>
              </w:rPr>
              <w:t xml:space="preserve"> ; et </w:t>
            </w:r>
            <w:r w:rsidR="00CC00E0" w:rsidRPr="00750CA9">
              <w:rPr>
                <w:lang w:val="fr-FR"/>
              </w:rPr>
              <w:t>(</w:t>
            </w:r>
            <w:r w:rsidRPr="00750CA9">
              <w:rPr>
                <w:lang w:val="fr-FR"/>
              </w:rPr>
              <w:t>v) le renforcement de la prise en charge pédiatrique (implication des non-pédiatres).</w:t>
            </w:r>
          </w:p>
          <w:p w14:paraId="5947CD1C" w14:textId="09099BC4" w:rsidR="003D075C" w:rsidRPr="00750CA9" w:rsidRDefault="00CC00E0" w:rsidP="00390EA4">
            <w:pPr>
              <w:pStyle w:val="Texteformulaire"/>
              <w:rPr>
                <w:lang w:val="fr-FR"/>
              </w:rPr>
            </w:pPr>
            <w:r w:rsidRPr="00750CA9">
              <w:rPr>
                <w:lang w:val="fr-FR"/>
              </w:rPr>
              <w:t xml:space="preserve">Concernant le </w:t>
            </w:r>
            <w:r w:rsidRPr="00750CA9">
              <w:rPr>
                <w:b/>
                <w:lang w:val="fr-FR"/>
              </w:rPr>
              <w:t>3</w:t>
            </w:r>
            <w:r w:rsidRPr="00750CA9">
              <w:rPr>
                <w:b/>
                <w:vertAlign w:val="superscript"/>
                <w:lang w:val="fr-FR"/>
              </w:rPr>
              <w:t>ème</w:t>
            </w:r>
            <w:r w:rsidRPr="00750CA9">
              <w:rPr>
                <w:b/>
                <w:lang w:val="fr-FR"/>
              </w:rPr>
              <w:t xml:space="preserve"> </w:t>
            </w:r>
            <w:r w:rsidR="003D075C" w:rsidRPr="00750CA9">
              <w:rPr>
                <w:b/>
                <w:lang w:val="fr-FR"/>
              </w:rPr>
              <w:t>90</w:t>
            </w:r>
            <w:r w:rsidR="003D075C" w:rsidRPr="00750CA9">
              <w:rPr>
                <w:lang w:val="fr-FR"/>
              </w:rPr>
              <w:t xml:space="preserve">, </w:t>
            </w:r>
            <w:r w:rsidRPr="00750CA9">
              <w:rPr>
                <w:lang w:val="fr-FR"/>
              </w:rPr>
              <w:t xml:space="preserve">il était estimé à </w:t>
            </w:r>
            <w:r w:rsidR="00964C20">
              <w:rPr>
                <w:b/>
                <w:bCs/>
                <w:lang w:val="fr-FR"/>
              </w:rPr>
              <w:t>45</w:t>
            </w:r>
            <w:r w:rsidRPr="00750CA9">
              <w:rPr>
                <w:b/>
                <w:lang w:val="fr-FR"/>
              </w:rPr>
              <w:t>%</w:t>
            </w:r>
            <w:r w:rsidRPr="00750CA9">
              <w:rPr>
                <w:lang w:val="fr-FR"/>
              </w:rPr>
              <w:t xml:space="preserve"> fin 2019 (</w:t>
            </w:r>
            <w:r w:rsidR="00F75C9D" w:rsidRPr="00750CA9">
              <w:rPr>
                <w:lang w:val="fr-FR"/>
              </w:rPr>
              <w:t>ou</w:t>
            </w:r>
            <w:r w:rsidR="003D075C" w:rsidRPr="00750CA9">
              <w:rPr>
                <w:lang w:val="fr-FR"/>
              </w:rPr>
              <w:t xml:space="preserve"> </w:t>
            </w:r>
            <w:r w:rsidRPr="00750CA9">
              <w:rPr>
                <w:lang w:val="fr-FR"/>
              </w:rPr>
              <w:t xml:space="preserve">76% des PVVIH traités par ARV ayant bénéficié d’une CV). </w:t>
            </w:r>
            <w:r w:rsidR="003F704F">
              <w:rPr>
                <w:lang w:val="fr-FR"/>
              </w:rPr>
              <w:t>Depuis</w:t>
            </w:r>
            <w:r w:rsidR="00566D08">
              <w:rPr>
                <w:lang w:val="fr-FR"/>
              </w:rPr>
              <w:t xml:space="preserve"> 2018</w:t>
            </w:r>
            <w:r w:rsidR="00011C83">
              <w:rPr>
                <w:lang w:val="fr-FR"/>
              </w:rPr>
              <w:t>,</w:t>
            </w:r>
            <w:r w:rsidR="00566D08">
              <w:rPr>
                <w:lang w:val="fr-FR"/>
              </w:rPr>
              <w:t xml:space="preserve"> des efforts importants ont été déployés par le PNLS et ses partenaires </w:t>
            </w:r>
            <w:r w:rsidR="003F704F">
              <w:rPr>
                <w:lang w:val="fr-FR"/>
              </w:rPr>
              <w:t>qui ont permis de réduire le</w:t>
            </w:r>
            <w:r w:rsidR="00566D08">
              <w:rPr>
                <w:lang w:val="fr-FR"/>
              </w:rPr>
              <w:t xml:space="preserve"> taux </w:t>
            </w:r>
            <w:r w:rsidR="003F704F">
              <w:rPr>
                <w:lang w:val="fr-FR"/>
              </w:rPr>
              <w:t>des</w:t>
            </w:r>
            <w:r w:rsidR="00F75C9D" w:rsidRPr="00750CA9">
              <w:rPr>
                <w:lang w:val="fr-FR"/>
              </w:rPr>
              <w:t xml:space="preserve"> perdus de vue </w:t>
            </w:r>
            <w:r w:rsidR="003F704F">
              <w:rPr>
                <w:lang w:val="fr-FR"/>
              </w:rPr>
              <w:t xml:space="preserve">(à 3 mois) à </w:t>
            </w:r>
            <w:r w:rsidR="00566D08" w:rsidRPr="00A8785F">
              <w:rPr>
                <w:lang w:val="fr-FR"/>
              </w:rPr>
              <w:t>11%</w:t>
            </w:r>
            <w:r w:rsidR="00566D08">
              <w:rPr>
                <w:lang w:val="fr-FR"/>
              </w:rPr>
              <w:t xml:space="preserve"> en fin 2019</w:t>
            </w:r>
            <w:r w:rsidR="00F449F0">
              <w:rPr>
                <w:lang w:val="fr-FR"/>
              </w:rPr>
              <w:t>,</w:t>
            </w:r>
            <w:r w:rsidR="00566D08">
              <w:rPr>
                <w:lang w:val="fr-FR"/>
              </w:rPr>
              <w:t xml:space="preserve"> soit 34</w:t>
            </w:r>
            <w:r w:rsidR="00011C83">
              <w:rPr>
                <w:lang w:val="fr-FR"/>
              </w:rPr>
              <w:t xml:space="preserve"> </w:t>
            </w:r>
            <w:r w:rsidR="00566D08">
              <w:rPr>
                <w:lang w:val="fr-FR"/>
              </w:rPr>
              <w:t>090 PVVIH. Les 2 régions sanitaires d’Abidjan totalisent à elles seules 46% de tous les perdus de vue, soit 15</w:t>
            </w:r>
            <w:r w:rsidR="003F704F">
              <w:rPr>
                <w:lang w:val="fr-FR"/>
              </w:rPr>
              <w:t xml:space="preserve"> </w:t>
            </w:r>
            <w:r w:rsidR="00566D08">
              <w:rPr>
                <w:lang w:val="fr-FR"/>
              </w:rPr>
              <w:t>615 PVVIH</w:t>
            </w:r>
            <w:r w:rsidR="00777F1D">
              <w:rPr>
                <w:lang w:val="fr-FR"/>
              </w:rPr>
              <w:t xml:space="preserve"> </w:t>
            </w:r>
            <w:r w:rsidR="00084F75" w:rsidRPr="00084F75">
              <w:rPr>
                <w:i/>
                <w:iCs/>
                <w:lang w:val="fr-FR"/>
              </w:rPr>
              <w:t>(Annexe 1)</w:t>
            </w:r>
            <w:r w:rsidR="00566D08" w:rsidRPr="00750CA9">
              <w:rPr>
                <w:lang w:val="fr-FR"/>
              </w:rPr>
              <w:t>.</w:t>
            </w:r>
          </w:p>
          <w:p w14:paraId="58AF76C4" w14:textId="0F7C6B01" w:rsidR="00581CCB" w:rsidRPr="00750CA9" w:rsidRDefault="00DE5AE9" w:rsidP="00390EA4">
            <w:pPr>
              <w:pStyle w:val="Texteformulaire"/>
              <w:rPr>
                <w:lang w:val="fr-FR"/>
              </w:rPr>
            </w:pPr>
            <w:r w:rsidRPr="00750CA9">
              <w:rPr>
                <w:lang w:val="fr-FR"/>
              </w:rPr>
              <w:t>Améliorer l</w:t>
            </w:r>
            <w:r w:rsidR="00581CCB" w:rsidRPr="00750CA9">
              <w:rPr>
                <w:lang w:val="fr-FR"/>
              </w:rPr>
              <w:t xml:space="preserve">es performances de la </w:t>
            </w:r>
            <w:r w:rsidR="00581CCB" w:rsidRPr="00750CA9">
              <w:rPr>
                <w:b/>
                <w:lang w:val="fr-FR"/>
              </w:rPr>
              <w:t>rétention dans les soins</w:t>
            </w:r>
            <w:r w:rsidRPr="00750CA9">
              <w:rPr>
                <w:lang w:val="fr-FR"/>
              </w:rPr>
              <w:t xml:space="preserve"> nécessite de surmonter  </w:t>
            </w:r>
            <w:r w:rsidR="00581CCB" w:rsidRPr="00750CA9">
              <w:rPr>
                <w:lang w:val="fr-FR"/>
              </w:rPr>
              <w:t xml:space="preserve">les défis suivants : (i) </w:t>
            </w:r>
            <w:r w:rsidRPr="00750CA9">
              <w:rPr>
                <w:lang w:val="fr-FR"/>
              </w:rPr>
              <w:t xml:space="preserve">la couverture insuffisante en </w:t>
            </w:r>
            <w:r w:rsidR="00581CCB" w:rsidRPr="00750CA9">
              <w:rPr>
                <w:lang w:val="fr-FR"/>
              </w:rPr>
              <w:t xml:space="preserve">Education Thérapeutique des patients (ETP) ; (ii) </w:t>
            </w:r>
            <w:r w:rsidRPr="00750CA9">
              <w:rPr>
                <w:lang w:val="fr-FR"/>
              </w:rPr>
              <w:t>les</w:t>
            </w:r>
            <w:r w:rsidR="00581CCB" w:rsidRPr="00750CA9">
              <w:rPr>
                <w:lang w:val="fr-FR"/>
              </w:rPr>
              <w:t xml:space="preserve"> approches différenciées de prise en charge </w:t>
            </w:r>
            <w:r w:rsidR="00F75C9D" w:rsidRPr="00750CA9">
              <w:rPr>
                <w:lang w:val="fr-FR"/>
              </w:rPr>
              <w:t>sont peu développées</w:t>
            </w:r>
            <w:r w:rsidR="00581CCB" w:rsidRPr="00750CA9">
              <w:rPr>
                <w:lang w:val="fr-FR"/>
              </w:rPr>
              <w:t> ; iii) le passage à l’échelle du paquet de services de rétention dans les soins pour un succès thérapeutique durable des patients (à 12, 24 et 36 mois)</w:t>
            </w:r>
            <w:r w:rsidR="00F75C9D" w:rsidRPr="00750CA9">
              <w:rPr>
                <w:lang w:val="fr-FR"/>
              </w:rPr>
              <w:t xml:space="preserve"> est insuffisant</w:t>
            </w:r>
            <w:r w:rsidR="001E2926" w:rsidRPr="00750CA9">
              <w:rPr>
                <w:lang w:val="fr-FR"/>
              </w:rPr>
              <w:t xml:space="preserve"> ; iv) </w:t>
            </w:r>
            <w:r w:rsidR="00F75C9D" w:rsidRPr="00750CA9">
              <w:rPr>
                <w:lang w:val="fr-FR"/>
              </w:rPr>
              <w:t>le</w:t>
            </w:r>
            <w:r w:rsidR="001E2926" w:rsidRPr="00750CA9">
              <w:rPr>
                <w:lang w:val="fr-FR"/>
              </w:rPr>
              <w:t xml:space="preserve"> lien </w:t>
            </w:r>
            <w:r w:rsidR="00F75C9D" w:rsidRPr="00750CA9">
              <w:rPr>
                <w:lang w:val="fr-FR"/>
              </w:rPr>
              <w:t xml:space="preserve">trop faible </w:t>
            </w:r>
            <w:r w:rsidR="001E2926" w:rsidRPr="00750CA9">
              <w:rPr>
                <w:lang w:val="fr-FR"/>
              </w:rPr>
              <w:t xml:space="preserve">entre les </w:t>
            </w:r>
            <w:r w:rsidR="00F75C9D" w:rsidRPr="00750CA9">
              <w:rPr>
                <w:lang w:val="fr-FR"/>
              </w:rPr>
              <w:t xml:space="preserve">différents </w:t>
            </w:r>
            <w:r w:rsidR="001E2926" w:rsidRPr="00750CA9">
              <w:rPr>
                <w:lang w:val="fr-FR"/>
              </w:rPr>
              <w:t xml:space="preserve">acteurs </w:t>
            </w:r>
            <w:r w:rsidR="00F75C9D" w:rsidRPr="00750CA9">
              <w:rPr>
                <w:lang w:val="fr-FR"/>
              </w:rPr>
              <w:t xml:space="preserve">de la prise en charge (soignants, personnels psycho-social et acteurs </w:t>
            </w:r>
            <w:r w:rsidR="001E2926" w:rsidRPr="00750CA9">
              <w:rPr>
                <w:lang w:val="fr-FR"/>
              </w:rPr>
              <w:t>communautaires</w:t>
            </w:r>
            <w:r w:rsidR="00F75C9D" w:rsidRPr="00750CA9">
              <w:rPr>
                <w:lang w:val="fr-FR"/>
              </w:rPr>
              <w:t>)</w:t>
            </w:r>
            <w:r w:rsidR="001E2926" w:rsidRPr="00750CA9">
              <w:rPr>
                <w:lang w:val="fr-FR"/>
              </w:rPr>
              <w:t xml:space="preserve"> </w:t>
            </w:r>
            <w:r w:rsidR="00F75C9D" w:rsidRPr="00750CA9">
              <w:rPr>
                <w:lang w:val="fr-FR"/>
              </w:rPr>
              <w:t>ne permet pas le</w:t>
            </w:r>
            <w:r w:rsidR="001E2926" w:rsidRPr="00750CA9">
              <w:rPr>
                <w:lang w:val="fr-FR"/>
              </w:rPr>
              <w:t xml:space="preserve"> meilleur suivi </w:t>
            </w:r>
            <w:r w:rsidR="00F75C9D" w:rsidRPr="00750CA9">
              <w:rPr>
                <w:lang w:val="fr-FR"/>
              </w:rPr>
              <w:t xml:space="preserve">et soutien </w:t>
            </w:r>
            <w:r w:rsidR="001E2926" w:rsidRPr="00750CA9">
              <w:rPr>
                <w:lang w:val="fr-FR"/>
              </w:rPr>
              <w:t>des PVVIH et OEV</w:t>
            </w:r>
            <w:r w:rsidR="00581CCB" w:rsidRPr="00750CA9">
              <w:rPr>
                <w:lang w:val="fr-FR"/>
              </w:rPr>
              <w:t>.</w:t>
            </w:r>
            <w:r w:rsidR="0034227C">
              <w:rPr>
                <w:lang w:val="fr-FR"/>
              </w:rPr>
              <w:t xml:space="preserve"> </w:t>
            </w:r>
            <w:r w:rsidR="0034227C" w:rsidRPr="00A8785F">
              <w:rPr>
                <w:lang w:val="fr-FR"/>
              </w:rPr>
              <w:t xml:space="preserve">Les efforts seront concentrés sur les 28 DS prioritaires du PSN, avec un accent particulier sur le maintien des acquis et </w:t>
            </w:r>
            <w:r w:rsidR="00A22507" w:rsidRPr="00A8785F">
              <w:rPr>
                <w:lang w:val="fr-FR"/>
              </w:rPr>
              <w:t>le renforcement des interventions dans les 2 régions sanitaires d’Abidjan.</w:t>
            </w:r>
            <w:r w:rsidR="00A22507">
              <w:rPr>
                <w:lang w:val="fr-FR"/>
              </w:rPr>
              <w:t xml:space="preserve"> </w:t>
            </w:r>
          </w:p>
          <w:p w14:paraId="47F907D9" w14:textId="254FBE27" w:rsidR="00581CCB" w:rsidRPr="00750CA9" w:rsidRDefault="00581CCB" w:rsidP="00F75C9D">
            <w:pPr>
              <w:pStyle w:val="Texteformulaire"/>
              <w:rPr>
                <w:lang w:val="fr-FR"/>
              </w:rPr>
            </w:pPr>
            <w:r w:rsidRPr="00750CA9">
              <w:rPr>
                <w:lang w:val="fr-FR"/>
              </w:rPr>
              <w:t>Concerna</w:t>
            </w:r>
            <w:r w:rsidR="00E46918" w:rsidRPr="00750CA9">
              <w:rPr>
                <w:lang w:val="fr-FR"/>
              </w:rPr>
              <w:t>n</w:t>
            </w:r>
            <w:r w:rsidRPr="00750CA9">
              <w:rPr>
                <w:lang w:val="fr-FR"/>
              </w:rPr>
              <w:t>t la charge virale, 65% des régions dispos</w:t>
            </w:r>
            <w:r w:rsidR="00DE5AE9" w:rsidRPr="00750CA9">
              <w:rPr>
                <w:lang w:val="fr-FR"/>
              </w:rPr>
              <w:t>aie</w:t>
            </w:r>
            <w:r w:rsidRPr="00750CA9">
              <w:rPr>
                <w:lang w:val="fr-FR"/>
              </w:rPr>
              <w:t>nt d’une plateforme de CV en 2019</w:t>
            </w:r>
            <w:r w:rsidR="00DE5AE9" w:rsidRPr="00750CA9">
              <w:rPr>
                <w:lang w:val="fr-FR"/>
              </w:rPr>
              <w:t xml:space="preserve"> et l</w:t>
            </w:r>
            <w:r w:rsidR="003D075C" w:rsidRPr="00750CA9">
              <w:rPr>
                <w:lang w:val="fr-FR"/>
              </w:rPr>
              <w:t>’écart programmatique pour le 3</w:t>
            </w:r>
            <w:r w:rsidR="003D075C" w:rsidRPr="00750CA9">
              <w:rPr>
                <w:vertAlign w:val="superscript"/>
                <w:lang w:val="fr-FR"/>
              </w:rPr>
              <w:t>ème</w:t>
            </w:r>
            <w:r w:rsidR="003D075C" w:rsidRPr="00750CA9">
              <w:rPr>
                <w:lang w:val="fr-FR"/>
              </w:rPr>
              <w:t xml:space="preserve"> 90 se concentre dans </w:t>
            </w:r>
            <w:r w:rsidR="00F75C9D" w:rsidRPr="00750CA9">
              <w:rPr>
                <w:lang w:val="fr-FR"/>
              </w:rPr>
              <w:t>28</w:t>
            </w:r>
            <w:r w:rsidR="003D075C" w:rsidRPr="00750CA9">
              <w:rPr>
                <w:lang w:val="fr-FR"/>
              </w:rPr>
              <w:t xml:space="preserve"> DS, ciblés comme prioritaires dans le PSN (cf. PSN). L</w:t>
            </w:r>
            <w:r w:rsidRPr="00750CA9">
              <w:rPr>
                <w:lang w:val="fr-FR"/>
              </w:rPr>
              <w:t xml:space="preserve">es défis </w:t>
            </w:r>
            <w:r w:rsidR="003D075C" w:rsidRPr="00750CA9">
              <w:rPr>
                <w:lang w:val="fr-FR"/>
              </w:rPr>
              <w:t>suivants persistent en la matière </w:t>
            </w:r>
            <w:r w:rsidRPr="00750CA9">
              <w:rPr>
                <w:lang w:val="fr-FR"/>
              </w:rPr>
              <w:t>: (i) un faible niveau de prescription de la charge virale par les prestataires de soins persiste ; (ii) un faible niveau de compréhension de l'intérêt de la charge virale par les PVVIH eux-mêmes ; (iii) l’absence d’un dispositif national de convoyage des échantillons vers les plateformes de mesure de la charge virale ; et (iv) des lourdeurs dans la transmission des résultats des laboratoires aux cliniciens grèvent les performances.</w:t>
            </w:r>
          </w:p>
          <w:p w14:paraId="3BD54482" w14:textId="77777777" w:rsidR="00F75C9D" w:rsidRPr="00750CA9" w:rsidRDefault="00581CCB" w:rsidP="00E46918">
            <w:pPr>
              <w:pStyle w:val="Texteformulaire"/>
              <w:rPr>
                <w:b/>
                <w:i/>
                <w:lang w:val="fr-FR"/>
              </w:rPr>
            </w:pPr>
            <w:r w:rsidRPr="00750CA9">
              <w:rPr>
                <w:b/>
                <w:i/>
                <w:lang w:val="fr-FR"/>
              </w:rPr>
              <w:t>Promotion des Droits Humains et du Genre :</w:t>
            </w:r>
            <w:r w:rsidR="00E46918" w:rsidRPr="00750CA9">
              <w:rPr>
                <w:b/>
                <w:i/>
                <w:lang w:val="fr-FR"/>
              </w:rPr>
              <w:t xml:space="preserve"> </w:t>
            </w:r>
          </w:p>
          <w:p w14:paraId="5200C2C6" w14:textId="27AB52B0" w:rsidR="00F75C9D" w:rsidRDefault="00581CCB" w:rsidP="00E46918">
            <w:pPr>
              <w:pStyle w:val="Texteformulaire"/>
              <w:rPr>
                <w:lang w:val="fr-FR"/>
              </w:rPr>
            </w:pPr>
            <w:r w:rsidRPr="00390EA4">
              <w:rPr>
                <w:lang w:val="fr-FR"/>
              </w:rPr>
              <w:t>Depuis 2016</w:t>
            </w:r>
            <w:r w:rsidR="00F75C9D">
              <w:rPr>
                <w:lang w:val="fr-FR"/>
              </w:rPr>
              <w:t>,</w:t>
            </w:r>
            <w:r w:rsidRPr="00390EA4">
              <w:rPr>
                <w:i/>
                <w:lang w:val="fr-FR"/>
              </w:rPr>
              <w:t xml:space="preserve"> </w:t>
            </w:r>
            <w:r w:rsidRPr="00390EA4">
              <w:rPr>
                <w:lang w:val="fr-FR"/>
              </w:rPr>
              <w:t>plusieurs activités de promotion des droits</w:t>
            </w:r>
            <w:r w:rsidR="00F75C9D">
              <w:rPr>
                <w:lang w:val="fr-FR"/>
              </w:rPr>
              <w:t xml:space="preserve"> humains</w:t>
            </w:r>
            <w:r w:rsidRPr="00390EA4">
              <w:rPr>
                <w:lang w:val="fr-FR"/>
              </w:rPr>
              <w:t>, de plaidoyer et de renforcement des capacités ont été conduites pour rendre l’environnement légal et social favorable à la mise en œuvre des activités de prévention et de prise en charge des PVVIH, des populations clés et vulnérables.</w:t>
            </w:r>
            <w:r w:rsidRPr="00390EA4">
              <w:rPr>
                <w:i/>
                <w:lang w:val="fr-FR"/>
              </w:rPr>
              <w:t xml:space="preserve"> </w:t>
            </w:r>
            <w:r w:rsidRPr="00390EA4">
              <w:rPr>
                <w:lang w:val="fr-FR"/>
              </w:rPr>
              <w:t>Les obstacles à l’accès aux services VIH liés aux droits humains ont fait l’objet d’une attention accrue, après une évaluation de l’accès aux soins des PVVIH et des populations clés en 2017</w:t>
            </w:r>
            <w:r w:rsidR="00D91400">
              <w:rPr>
                <w:lang w:val="fr-FR"/>
              </w:rPr>
              <w:t xml:space="preserve"> </w:t>
            </w:r>
            <w:r w:rsidR="00084F75" w:rsidRPr="00084F75">
              <w:rPr>
                <w:i/>
                <w:iCs/>
                <w:lang w:val="fr-FR"/>
              </w:rPr>
              <w:t>(Annexe 1</w:t>
            </w:r>
            <w:r w:rsidR="00084F75">
              <w:rPr>
                <w:i/>
                <w:iCs/>
                <w:lang w:val="fr-FR"/>
              </w:rPr>
              <w:t>7</w:t>
            </w:r>
            <w:r w:rsidR="00084F75" w:rsidRPr="00084F75">
              <w:rPr>
                <w:i/>
                <w:iCs/>
                <w:lang w:val="fr-FR"/>
              </w:rPr>
              <w:t>)</w:t>
            </w:r>
            <w:r w:rsidRPr="00390EA4">
              <w:rPr>
                <w:lang w:val="fr-FR"/>
              </w:rPr>
              <w:t>.</w:t>
            </w:r>
          </w:p>
          <w:p w14:paraId="650761CE" w14:textId="0A44F690" w:rsidR="00581CCB" w:rsidRPr="00390EA4" w:rsidRDefault="009758DA" w:rsidP="00E46918">
            <w:pPr>
              <w:pStyle w:val="Texteformulaire"/>
              <w:rPr>
                <w:lang w:val="fr-FR"/>
              </w:rPr>
            </w:pPr>
            <w:r>
              <w:rPr>
                <w:lang w:val="fr-FR"/>
              </w:rPr>
              <w:t>I</w:t>
            </w:r>
            <w:r w:rsidR="00581CCB" w:rsidRPr="00390EA4">
              <w:rPr>
                <w:lang w:val="fr-FR"/>
              </w:rPr>
              <w:t>l reste encore de nombreux défis, notamment</w:t>
            </w:r>
            <w:r w:rsidR="00A8785F">
              <w:rPr>
                <w:lang w:val="fr-FR"/>
              </w:rPr>
              <w:t> : (i)</w:t>
            </w:r>
            <w:r w:rsidR="00581CCB" w:rsidRPr="00390EA4">
              <w:rPr>
                <w:lang w:val="fr-FR"/>
              </w:rPr>
              <w:t xml:space="preserve"> la réduction de la stigmatisation et de la discrimination qui est encore élevée (40,4% à l’égard des </w:t>
            </w:r>
            <w:r w:rsidR="00A8785F">
              <w:rPr>
                <w:lang w:val="fr-FR"/>
              </w:rPr>
              <w:t>PVVIH</w:t>
            </w:r>
            <w:r w:rsidR="00A8785F" w:rsidRPr="00390EA4">
              <w:rPr>
                <w:lang w:val="fr-FR"/>
              </w:rPr>
              <w:t xml:space="preserve"> </w:t>
            </w:r>
            <w:r w:rsidR="00581CCB" w:rsidRPr="00390EA4">
              <w:rPr>
                <w:lang w:val="fr-FR"/>
              </w:rPr>
              <w:t>selon l’index de la stigmatisation 2016</w:t>
            </w:r>
            <w:r w:rsidR="00EE5909">
              <w:rPr>
                <w:lang w:val="fr-FR"/>
              </w:rPr>
              <w:t xml:space="preserve"> </w:t>
            </w:r>
            <w:r w:rsidR="00084F75" w:rsidRPr="00084F75">
              <w:rPr>
                <w:i/>
                <w:iCs/>
                <w:lang w:val="fr-FR"/>
              </w:rPr>
              <w:t>(Annexe 1</w:t>
            </w:r>
            <w:r w:rsidR="00084F75">
              <w:rPr>
                <w:i/>
                <w:iCs/>
                <w:lang w:val="fr-FR"/>
              </w:rPr>
              <w:t>8</w:t>
            </w:r>
            <w:r w:rsidR="00084F75" w:rsidRPr="00084F75">
              <w:rPr>
                <w:i/>
                <w:iCs/>
                <w:lang w:val="fr-FR"/>
              </w:rPr>
              <w:t>)</w:t>
            </w:r>
            <w:r w:rsidR="00A8785F">
              <w:rPr>
                <w:lang w:val="fr-FR"/>
              </w:rPr>
              <w:t xml:space="preserve">, </w:t>
            </w:r>
            <w:r w:rsidR="00A8785F">
              <w:rPr>
                <w:lang w:val="fr-FR"/>
              </w:rPr>
              <w:lastRenderedPageBreak/>
              <w:t>ainsi que</w:t>
            </w:r>
            <w:r w:rsidR="00581CCB" w:rsidRPr="00390EA4">
              <w:rPr>
                <w:lang w:val="fr-FR"/>
              </w:rPr>
              <w:t xml:space="preserve"> </w:t>
            </w:r>
            <w:r w:rsidR="00A8785F">
              <w:rPr>
                <w:lang w:val="fr-FR"/>
              </w:rPr>
              <w:t>l</w:t>
            </w:r>
            <w:r w:rsidR="00581CCB" w:rsidRPr="00390EA4">
              <w:rPr>
                <w:lang w:val="fr-FR"/>
              </w:rPr>
              <w:t>es violations des droits humains des PS et HSH (rafles et violences policières)</w:t>
            </w:r>
            <w:r w:rsidR="00A8785F">
              <w:rPr>
                <w:lang w:val="fr-FR"/>
              </w:rPr>
              <w:t> ; (ii)</w:t>
            </w:r>
            <w:r w:rsidR="00581CCB" w:rsidRPr="00390EA4">
              <w:rPr>
                <w:lang w:val="fr-FR"/>
              </w:rPr>
              <w:t xml:space="preserve"> </w:t>
            </w:r>
            <w:r w:rsidR="00A8785F">
              <w:rPr>
                <w:lang w:val="fr-FR"/>
              </w:rPr>
              <w:t>accroitre l</w:t>
            </w:r>
            <w:r w:rsidR="00F75C9D">
              <w:rPr>
                <w:lang w:val="fr-FR"/>
              </w:rPr>
              <w:t xml:space="preserve">a </w:t>
            </w:r>
            <w:r w:rsidR="00581CCB" w:rsidRPr="00390EA4">
              <w:rPr>
                <w:lang w:val="fr-FR"/>
              </w:rPr>
              <w:t xml:space="preserve">compréhension des questions de droits humains </w:t>
            </w:r>
            <w:r w:rsidR="003301BE">
              <w:rPr>
                <w:lang w:val="fr-FR"/>
              </w:rPr>
              <w:t>liés au</w:t>
            </w:r>
            <w:r w:rsidR="00581CCB" w:rsidRPr="00390EA4">
              <w:rPr>
                <w:lang w:val="fr-FR"/>
              </w:rPr>
              <w:t xml:space="preserve"> VIH </w:t>
            </w:r>
            <w:r w:rsidR="003301BE">
              <w:rPr>
                <w:lang w:val="fr-FR"/>
              </w:rPr>
              <w:t>par l</w:t>
            </w:r>
            <w:r w:rsidR="003301BE" w:rsidRPr="00296FA5">
              <w:rPr>
                <w:lang w:val="fr-FR"/>
              </w:rPr>
              <w:t>es prestataires de santé et des forces de sécurité</w:t>
            </w:r>
            <w:r w:rsidR="003301BE">
              <w:rPr>
                <w:lang w:val="fr-FR"/>
              </w:rPr>
              <w:t xml:space="preserve">, </w:t>
            </w:r>
            <w:r w:rsidR="00581CCB" w:rsidRPr="00390EA4">
              <w:rPr>
                <w:lang w:val="fr-FR"/>
              </w:rPr>
              <w:t xml:space="preserve">dans tous les Districts </w:t>
            </w:r>
            <w:r w:rsidR="003301BE">
              <w:rPr>
                <w:lang w:val="fr-FR"/>
              </w:rPr>
              <w:t>pour</w:t>
            </w:r>
            <w:r w:rsidR="00581CCB" w:rsidRPr="00390EA4">
              <w:rPr>
                <w:lang w:val="fr-FR"/>
              </w:rPr>
              <w:t xml:space="preserve"> </w:t>
            </w:r>
            <w:r w:rsidR="003301BE" w:rsidRPr="00390EA4">
              <w:rPr>
                <w:lang w:val="fr-FR"/>
              </w:rPr>
              <w:t>rédu</w:t>
            </w:r>
            <w:r w:rsidR="003301BE">
              <w:rPr>
                <w:lang w:val="fr-FR"/>
              </w:rPr>
              <w:t>ire</w:t>
            </w:r>
            <w:r w:rsidR="00581CCB" w:rsidRPr="00390EA4">
              <w:rPr>
                <w:lang w:val="fr-FR"/>
              </w:rPr>
              <w:t xml:space="preserve"> la discrimination à l’égard des populations clés et les PVVIH</w:t>
            </w:r>
            <w:r w:rsidR="00A8785F">
              <w:rPr>
                <w:lang w:val="fr-FR"/>
              </w:rPr>
              <w:t xml:space="preserve"> ; et (iii) </w:t>
            </w:r>
            <w:r w:rsidR="00581CCB" w:rsidRPr="00390EA4">
              <w:rPr>
                <w:lang w:val="fr-FR"/>
              </w:rPr>
              <w:t>l</w:t>
            </w:r>
            <w:r w:rsidR="00A8785F">
              <w:rPr>
                <w:lang w:val="fr-FR"/>
              </w:rPr>
              <w:t>a réforme d</w:t>
            </w:r>
            <w:r w:rsidR="00581CCB" w:rsidRPr="00390EA4">
              <w:rPr>
                <w:lang w:val="fr-FR"/>
              </w:rPr>
              <w:t>es lois répressives à l’endroit des populations vulnérable</w:t>
            </w:r>
            <w:r w:rsidR="00A8785F">
              <w:rPr>
                <w:lang w:val="fr-FR"/>
              </w:rPr>
              <w:t xml:space="preserve"> par un plaidoyer auprès d</w:t>
            </w:r>
            <w:r w:rsidR="00A8785F" w:rsidRPr="00390EA4">
              <w:rPr>
                <w:lang w:val="fr-FR"/>
              </w:rPr>
              <w:t>es législateurs</w:t>
            </w:r>
            <w:r w:rsidR="00581CCB" w:rsidRPr="00390EA4">
              <w:rPr>
                <w:lang w:val="fr-FR"/>
              </w:rPr>
              <w:t>.</w:t>
            </w:r>
          </w:p>
          <w:p w14:paraId="55035478" w14:textId="6B0DAE33" w:rsidR="00581CCB" w:rsidRDefault="00581CCB" w:rsidP="00E46918">
            <w:pPr>
              <w:pStyle w:val="Texteformulaire"/>
              <w:rPr>
                <w:lang w:val="fr-FR"/>
              </w:rPr>
            </w:pPr>
            <w:r w:rsidRPr="00390EA4">
              <w:rPr>
                <w:lang w:val="fr-FR"/>
              </w:rPr>
              <w:t>Les normes sexo-spécifiques néfastes, dont l’inégalité de statut entre hommes et femmes et certaines normes de masculinité affectent l’accès aux services. Selon l’EDS-MICS 2011-2012</w:t>
            </w:r>
            <w:r w:rsidR="00EE5909">
              <w:rPr>
                <w:lang w:val="fr-FR"/>
              </w:rPr>
              <w:t xml:space="preserve"> </w:t>
            </w:r>
            <w:r w:rsidR="00084F75" w:rsidRPr="00084F75">
              <w:rPr>
                <w:i/>
                <w:iCs/>
                <w:lang w:val="fr-FR"/>
              </w:rPr>
              <w:t>(Annexe 1</w:t>
            </w:r>
            <w:r w:rsidR="00084F75">
              <w:rPr>
                <w:i/>
                <w:iCs/>
                <w:lang w:val="fr-FR"/>
              </w:rPr>
              <w:t>9</w:t>
            </w:r>
            <w:r w:rsidR="00084F75" w:rsidRPr="00084F75">
              <w:rPr>
                <w:i/>
                <w:iCs/>
                <w:lang w:val="fr-FR"/>
              </w:rPr>
              <w:t>)</w:t>
            </w:r>
            <w:r w:rsidRPr="00390EA4">
              <w:rPr>
                <w:lang w:val="fr-FR"/>
              </w:rPr>
              <w:t xml:space="preserve">, dans 64.1% des cas, c’est le conjoint qui prend les décisions concernant les soins de santé de la femme (Entraves à l’accès à la PTME pour les couples mères-enfants) et on note la faiblesse de l’implication des hommes à l’offre de dépistage. </w:t>
            </w:r>
          </w:p>
          <w:p w14:paraId="3E24AFC4" w14:textId="08821D5B" w:rsidR="001B7DE0" w:rsidRDefault="001B7DE0" w:rsidP="001B7DE0">
            <w:pPr>
              <w:pStyle w:val="Texteformulaire"/>
              <w:rPr>
                <w:lang w:val="fr-FR"/>
              </w:rPr>
            </w:pPr>
          </w:p>
          <w:p w14:paraId="02ACEA67" w14:textId="23753C48" w:rsidR="001B7DE0" w:rsidRPr="000525BF" w:rsidRDefault="00095DC8" w:rsidP="00095DC8">
            <w:pPr>
              <w:pStyle w:val="Texteformulaire"/>
              <w:rPr>
                <w:b/>
                <w:iCs/>
                <w:lang w:val="fr-FR"/>
              </w:rPr>
            </w:pPr>
            <w:r w:rsidRPr="000525BF">
              <w:rPr>
                <w:b/>
                <w:iCs/>
                <w:lang w:val="fr-FR"/>
              </w:rPr>
              <w:t>Engagement communautaire</w:t>
            </w:r>
          </w:p>
          <w:p w14:paraId="2ED35CE3" w14:textId="5C3D92FA" w:rsidR="00777F1D" w:rsidRDefault="00777F1D" w:rsidP="001B7DE0">
            <w:pPr>
              <w:pStyle w:val="Texteformulaire"/>
              <w:rPr>
                <w:lang w:val="fr-FR"/>
              </w:rPr>
            </w:pPr>
            <w:r w:rsidRPr="00D53A20">
              <w:rPr>
                <w:lang w:val="fr-FR"/>
              </w:rPr>
              <w:t>La Côte d’Ivoire prom</w:t>
            </w:r>
            <w:r>
              <w:rPr>
                <w:lang w:val="fr-FR"/>
              </w:rPr>
              <w:t>eut</w:t>
            </w:r>
            <w:r w:rsidRPr="00D53A20">
              <w:rPr>
                <w:lang w:val="fr-FR"/>
              </w:rPr>
              <w:t xml:space="preserve"> le développement de la participation communautaire dans la mise en œuvre des programmes de santé</w:t>
            </w:r>
            <w:r w:rsidR="00C874E1">
              <w:rPr>
                <w:lang w:val="fr-FR"/>
              </w:rPr>
              <w:t xml:space="preserve"> à travers une Stratégie de Santé Communautaire, sous la responsabilité de la Direction de Santé Communautaire et du Service des ONG du MSHP. Sur le terrain, les organisations à base communautaires (OBC) ainsi que les agents de santé communautaires (ASC) collaborent pour assurer une continuité des services de prévention, de soins et de soutien. Dans la réponse communautaire au VIH, de nombreuses ONG et OBC </w:t>
            </w:r>
            <w:r w:rsidR="0048543C">
              <w:rPr>
                <w:lang w:val="fr-FR"/>
              </w:rPr>
              <w:t>sont mobilisées à travers tout le pays, notamment dans l’offre de services aux populations clés et vulnérables, ainsi qu’aux PVVIH et OEV. Certains acteurs communautaires sont intégrés dans les structures de santé, apportant un appui essentiel aux professionnels de santé. L</w:t>
            </w:r>
            <w:r w:rsidRPr="00D53A20">
              <w:rPr>
                <w:lang w:val="fr-FR"/>
              </w:rPr>
              <w:t xml:space="preserve">es Organisations de la Société Civile (OSC) jouent </w:t>
            </w:r>
            <w:r w:rsidR="0048543C">
              <w:rPr>
                <w:lang w:val="fr-FR"/>
              </w:rPr>
              <w:t xml:space="preserve">également </w:t>
            </w:r>
            <w:r w:rsidRPr="00D53A20">
              <w:rPr>
                <w:lang w:val="fr-FR"/>
              </w:rPr>
              <w:t xml:space="preserve">un rôle important dans les activités de redevabilité sociale, </w:t>
            </w:r>
            <w:r w:rsidR="0048543C">
              <w:rPr>
                <w:lang w:val="fr-FR"/>
              </w:rPr>
              <w:t>la promotion de la</w:t>
            </w:r>
            <w:r w:rsidRPr="00D53A20">
              <w:rPr>
                <w:lang w:val="fr-FR"/>
              </w:rPr>
              <w:t xml:space="preserve"> voix des populations affectées, ainsi que l'amélioration du suivi et de la transparence</w:t>
            </w:r>
            <w:r w:rsidR="0048543C">
              <w:rPr>
                <w:lang w:val="fr-FR"/>
              </w:rPr>
              <w:t xml:space="preserve"> des interventions en leur faveur </w:t>
            </w:r>
            <w:r w:rsidRPr="00D53A20">
              <w:rPr>
                <w:lang w:val="fr-FR"/>
              </w:rPr>
              <w:t>(</w:t>
            </w:r>
            <w:r w:rsidR="0048543C">
              <w:rPr>
                <w:lang w:val="fr-FR"/>
              </w:rPr>
              <w:t>o</w:t>
            </w:r>
            <w:r w:rsidRPr="00D53A20">
              <w:rPr>
                <w:lang w:val="fr-FR"/>
              </w:rPr>
              <w:t>bservatoires communautaires, système d’alerte, plateformes de retro-information des OSC</w:t>
            </w:r>
            <w:r w:rsidR="0048543C">
              <w:rPr>
                <w:lang w:val="fr-FR"/>
              </w:rPr>
              <w:t xml:space="preserve">, </w:t>
            </w:r>
            <w:proofErr w:type="spellStart"/>
            <w:r w:rsidRPr="00D53A20">
              <w:rPr>
                <w:lang w:val="fr-FR"/>
              </w:rPr>
              <w:t>etc</w:t>
            </w:r>
            <w:proofErr w:type="spellEnd"/>
            <w:r w:rsidRPr="00D53A20">
              <w:rPr>
                <w:lang w:val="fr-FR"/>
              </w:rPr>
              <w:t>).</w:t>
            </w:r>
          </w:p>
          <w:p w14:paraId="04D67707" w14:textId="70D18730" w:rsidR="00095DC8" w:rsidRDefault="00095DC8" w:rsidP="000525BF">
            <w:pPr>
              <w:pStyle w:val="Texteformulaire"/>
            </w:pPr>
            <w:proofErr w:type="spellStart"/>
            <w:r>
              <w:t>En</w:t>
            </w:r>
            <w:proofErr w:type="spellEnd"/>
            <w:r>
              <w:t xml:space="preserve"> 2019, </w:t>
            </w:r>
            <w:proofErr w:type="spellStart"/>
            <w:r>
              <w:t>une</w:t>
            </w:r>
            <w:proofErr w:type="spellEnd"/>
            <w:r>
              <w:t xml:space="preserve"> </w:t>
            </w:r>
            <w:proofErr w:type="spellStart"/>
            <w:r>
              <w:t>analyse</w:t>
            </w:r>
            <w:proofErr w:type="spellEnd"/>
            <w:r>
              <w:t xml:space="preserve"> </w:t>
            </w:r>
            <w:proofErr w:type="spellStart"/>
            <w:r>
              <w:t>situationnelle</w:t>
            </w:r>
            <w:proofErr w:type="spellEnd"/>
            <w:r>
              <w:t xml:space="preserve"> de la contribution des OSC dans </w:t>
            </w:r>
            <w:proofErr w:type="spellStart"/>
            <w:r>
              <w:t>l’accélération</w:t>
            </w:r>
            <w:proofErr w:type="spellEnd"/>
            <w:r>
              <w:t xml:space="preserve"> de </w:t>
            </w:r>
            <w:proofErr w:type="spellStart"/>
            <w:r>
              <w:t>l’atteinte</w:t>
            </w:r>
            <w:proofErr w:type="spellEnd"/>
            <w:r>
              <w:t xml:space="preserve"> des </w:t>
            </w:r>
            <w:proofErr w:type="spellStart"/>
            <w:r>
              <w:t>cibles</w:t>
            </w:r>
            <w:proofErr w:type="spellEnd"/>
            <w:r>
              <w:t xml:space="preserve"> du 90-90-90</w:t>
            </w:r>
            <w:r w:rsidR="00515476">
              <w:t xml:space="preserve"> </w:t>
            </w:r>
            <w:r w:rsidR="00084F75" w:rsidRPr="00084F75">
              <w:rPr>
                <w:i/>
                <w:iCs/>
                <w:lang w:val="fr-FR"/>
              </w:rPr>
              <w:t xml:space="preserve">(Annexe </w:t>
            </w:r>
            <w:r w:rsidR="00084F75">
              <w:rPr>
                <w:i/>
                <w:iCs/>
                <w:lang w:val="fr-FR"/>
              </w:rPr>
              <w:t>20</w:t>
            </w:r>
            <w:r w:rsidR="00084F75" w:rsidRPr="00084F75">
              <w:rPr>
                <w:i/>
                <w:iCs/>
                <w:lang w:val="fr-FR"/>
              </w:rPr>
              <w:t>)</w:t>
            </w:r>
            <w:r w:rsidRPr="00515476">
              <w:rPr>
                <w:color w:val="0070C0"/>
              </w:rPr>
              <w:t xml:space="preserve"> </w:t>
            </w:r>
            <w:r>
              <w:t xml:space="preserve">a </w:t>
            </w:r>
            <w:proofErr w:type="spellStart"/>
            <w:r>
              <w:t>permis</w:t>
            </w:r>
            <w:proofErr w:type="spellEnd"/>
            <w:r>
              <w:t xml:space="preserve"> de </w:t>
            </w:r>
            <w:proofErr w:type="spellStart"/>
            <w:r>
              <w:t>dégager</w:t>
            </w:r>
            <w:proofErr w:type="spellEnd"/>
            <w:r>
              <w:t xml:space="preserve"> les </w:t>
            </w:r>
            <w:proofErr w:type="spellStart"/>
            <w:r>
              <w:t>défis</w:t>
            </w:r>
            <w:proofErr w:type="spellEnd"/>
            <w:r>
              <w:t xml:space="preserve"> </w:t>
            </w:r>
            <w:proofErr w:type="spellStart"/>
            <w:r>
              <w:t>suivants</w:t>
            </w:r>
            <w:proofErr w:type="spellEnd"/>
            <w:r>
              <w:t xml:space="preserve"> </w:t>
            </w:r>
            <w:proofErr w:type="spellStart"/>
            <w:r>
              <w:t>en</w:t>
            </w:r>
            <w:proofErr w:type="spellEnd"/>
            <w:r>
              <w:t xml:space="preserve"> matière de coordination et leadership: (</w:t>
            </w:r>
            <w:proofErr w:type="spellStart"/>
            <w:r>
              <w:t>i</w:t>
            </w:r>
            <w:proofErr w:type="spellEnd"/>
            <w:r>
              <w:t xml:space="preserve">) la </w:t>
            </w:r>
            <w:proofErr w:type="spellStart"/>
            <w:r>
              <w:t>faible</w:t>
            </w:r>
            <w:proofErr w:type="spellEnd"/>
            <w:r>
              <w:t xml:space="preserve"> coordination des interventions des OSC par les instances techniques du MSHP </w:t>
            </w:r>
            <w:proofErr w:type="spellStart"/>
            <w:r>
              <w:t>tant</w:t>
            </w:r>
            <w:proofErr w:type="spellEnd"/>
            <w:r>
              <w:t xml:space="preserve"> au </w:t>
            </w:r>
            <w:proofErr w:type="spellStart"/>
            <w:r>
              <w:t>niveau</w:t>
            </w:r>
            <w:proofErr w:type="spellEnd"/>
            <w:r>
              <w:t xml:space="preserve"> central que </w:t>
            </w:r>
            <w:proofErr w:type="spellStart"/>
            <w:r>
              <w:t>décentralisé</w:t>
            </w:r>
            <w:proofErr w:type="spellEnd"/>
            <w:r>
              <w:t xml:space="preserve"> ; (ii) la </w:t>
            </w:r>
            <w:proofErr w:type="spellStart"/>
            <w:r>
              <w:t>faible</w:t>
            </w:r>
            <w:proofErr w:type="spellEnd"/>
            <w:r>
              <w:t xml:space="preserve"> collaboration et </w:t>
            </w:r>
            <w:proofErr w:type="spellStart"/>
            <w:r>
              <w:t>complémentarité</w:t>
            </w:r>
            <w:proofErr w:type="spellEnd"/>
            <w:r>
              <w:t xml:space="preserve"> entre </w:t>
            </w:r>
            <w:proofErr w:type="spellStart"/>
            <w:r>
              <w:t>acteurs</w:t>
            </w:r>
            <w:proofErr w:type="spellEnd"/>
            <w:r>
              <w:t xml:space="preserve"> </w:t>
            </w:r>
            <w:proofErr w:type="spellStart"/>
            <w:r>
              <w:t>communautaires</w:t>
            </w:r>
            <w:proofErr w:type="spellEnd"/>
            <w:r>
              <w:t xml:space="preserve">, et entre </w:t>
            </w:r>
            <w:proofErr w:type="spellStart"/>
            <w:r>
              <w:t>acteurs</w:t>
            </w:r>
            <w:proofErr w:type="spellEnd"/>
            <w:r>
              <w:t xml:space="preserve"> </w:t>
            </w:r>
            <w:proofErr w:type="spellStart"/>
            <w:r>
              <w:t>communautaires</w:t>
            </w:r>
            <w:proofErr w:type="spellEnd"/>
            <w:r>
              <w:t xml:space="preserve"> et formations </w:t>
            </w:r>
            <w:proofErr w:type="spellStart"/>
            <w:r>
              <w:t>sanitaires</w:t>
            </w:r>
            <w:proofErr w:type="spellEnd"/>
            <w:r>
              <w:t xml:space="preserve"> ; (iii) </w:t>
            </w:r>
            <w:proofErr w:type="spellStart"/>
            <w:r>
              <w:t>l’absence</w:t>
            </w:r>
            <w:proofErr w:type="spellEnd"/>
            <w:r>
              <w:t xml:space="preserve"> d’un </w:t>
            </w:r>
            <w:proofErr w:type="spellStart"/>
            <w:r>
              <w:t>dispositif</w:t>
            </w:r>
            <w:proofErr w:type="spellEnd"/>
            <w:r>
              <w:t xml:space="preserve"> </w:t>
            </w:r>
            <w:proofErr w:type="spellStart"/>
            <w:r>
              <w:t>clair</w:t>
            </w:r>
            <w:proofErr w:type="spellEnd"/>
            <w:r>
              <w:t xml:space="preserve"> de coordination entre les OSC malgré </w:t>
            </w:r>
            <w:proofErr w:type="spellStart"/>
            <w:r>
              <w:t>l’existence</w:t>
            </w:r>
            <w:proofErr w:type="spellEnd"/>
            <w:r>
              <w:t xml:space="preserve"> de reseaux et </w:t>
            </w:r>
            <w:proofErr w:type="spellStart"/>
            <w:r>
              <w:t>faitières</w:t>
            </w:r>
            <w:proofErr w:type="spellEnd"/>
            <w:r>
              <w:t xml:space="preserve"> ; (iv) </w:t>
            </w:r>
            <w:proofErr w:type="spellStart"/>
            <w:r>
              <w:t>l’absence</w:t>
            </w:r>
            <w:proofErr w:type="spellEnd"/>
            <w:r>
              <w:t xml:space="preserve"> d’un </w:t>
            </w:r>
            <w:proofErr w:type="spellStart"/>
            <w:r>
              <w:t>dispositif</w:t>
            </w:r>
            <w:proofErr w:type="spellEnd"/>
            <w:r>
              <w:t xml:space="preserve"> </w:t>
            </w:r>
            <w:proofErr w:type="spellStart"/>
            <w:r>
              <w:t>clair</w:t>
            </w:r>
            <w:proofErr w:type="spellEnd"/>
            <w:r>
              <w:t xml:space="preserve"> de </w:t>
            </w:r>
            <w:proofErr w:type="spellStart"/>
            <w:r w:rsidR="00840764">
              <w:t>contractualisation</w:t>
            </w:r>
            <w:proofErr w:type="spellEnd"/>
            <w:r>
              <w:t xml:space="preserve"> entre les OSC et les formations </w:t>
            </w:r>
            <w:proofErr w:type="spellStart"/>
            <w:r>
              <w:t>sanitaires</w:t>
            </w:r>
            <w:proofErr w:type="spellEnd"/>
            <w:r w:rsidR="00840764">
              <w:t xml:space="preserve"> ; (v) l</w:t>
            </w:r>
            <w:r>
              <w:t xml:space="preserve">a </w:t>
            </w:r>
            <w:proofErr w:type="spellStart"/>
            <w:r>
              <w:t>mauvaise</w:t>
            </w:r>
            <w:proofErr w:type="spellEnd"/>
            <w:r>
              <w:t xml:space="preserve"> </w:t>
            </w:r>
            <w:proofErr w:type="spellStart"/>
            <w:r>
              <w:t>remontée</w:t>
            </w:r>
            <w:proofErr w:type="spellEnd"/>
            <w:r>
              <w:t xml:space="preserve"> des </w:t>
            </w:r>
            <w:proofErr w:type="spellStart"/>
            <w:r>
              <w:t>données</w:t>
            </w:r>
            <w:proofErr w:type="spellEnd"/>
            <w:r>
              <w:t xml:space="preserve"> </w:t>
            </w:r>
            <w:proofErr w:type="spellStart"/>
            <w:r>
              <w:t>communautaires</w:t>
            </w:r>
            <w:proofErr w:type="spellEnd"/>
            <w:r>
              <w:t xml:space="preserve"> dans le </w:t>
            </w:r>
            <w:proofErr w:type="spellStart"/>
            <w:r>
              <w:t>système</w:t>
            </w:r>
            <w:proofErr w:type="spellEnd"/>
            <w:r>
              <w:t xml:space="preserve"> </w:t>
            </w:r>
            <w:proofErr w:type="spellStart"/>
            <w:r>
              <w:t>d’information</w:t>
            </w:r>
            <w:proofErr w:type="spellEnd"/>
            <w:r>
              <w:t xml:space="preserve"> sanitaire</w:t>
            </w:r>
            <w:r w:rsidR="00840764">
              <w:t xml:space="preserve">, qui </w:t>
            </w:r>
            <w:r>
              <w:t xml:space="preserve">ne </w:t>
            </w:r>
            <w:proofErr w:type="spellStart"/>
            <w:r>
              <w:t>permet</w:t>
            </w:r>
            <w:proofErr w:type="spellEnd"/>
            <w:r>
              <w:t xml:space="preserve"> pas de prendre </w:t>
            </w:r>
            <w:proofErr w:type="spellStart"/>
            <w:r>
              <w:t>en</w:t>
            </w:r>
            <w:proofErr w:type="spellEnd"/>
            <w:r>
              <w:t xml:space="preserve"> </w:t>
            </w:r>
            <w:proofErr w:type="spellStart"/>
            <w:r>
              <w:t>compte</w:t>
            </w:r>
            <w:proofErr w:type="spellEnd"/>
            <w:r>
              <w:t xml:space="preserve"> </w:t>
            </w:r>
            <w:proofErr w:type="spellStart"/>
            <w:r>
              <w:t>l’exhaustivité</w:t>
            </w:r>
            <w:proofErr w:type="spellEnd"/>
            <w:r>
              <w:t xml:space="preserve"> des </w:t>
            </w:r>
            <w:r w:rsidR="00840764">
              <w:t>contributions</w:t>
            </w:r>
            <w:r>
              <w:t xml:space="preserve"> </w:t>
            </w:r>
            <w:proofErr w:type="spellStart"/>
            <w:r>
              <w:t>communautaires</w:t>
            </w:r>
            <w:proofErr w:type="spellEnd"/>
            <w:r>
              <w:t xml:space="preserve">. Au </w:t>
            </w:r>
            <w:proofErr w:type="spellStart"/>
            <w:r>
              <w:t>niveau</w:t>
            </w:r>
            <w:proofErr w:type="spellEnd"/>
            <w:r>
              <w:t xml:space="preserve"> </w:t>
            </w:r>
            <w:proofErr w:type="spellStart"/>
            <w:r>
              <w:t>communautaire</w:t>
            </w:r>
            <w:proofErr w:type="spellEnd"/>
            <w:r>
              <w:t xml:space="preserve">, </w:t>
            </w:r>
            <w:proofErr w:type="spellStart"/>
            <w:r>
              <w:t>l’organisation</w:t>
            </w:r>
            <w:proofErr w:type="spellEnd"/>
            <w:r>
              <w:t xml:space="preserve"> des OSC au sein </w:t>
            </w:r>
            <w:proofErr w:type="spellStart"/>
            <w:r>
              <w:t>d’une</w:t>
            </w:r>
            <w:proofErr w:type="spellEnd"/>
            <w:r>
              <w:t xml:space="preserve"> </w:t>
            </w:r>
            <w:proofErr w:type="spellStart"/>
            <w:r>
              <w:t>plateforme</w:t>
            </w:r>
            <w:proofErr w:type="spellEnd"/>
            <w:r>
              <w:t xml:space="preserve"> des OSC </w:t>
            </w:r>
            <w:proofErr w:type="spellStart"/>
            <w:r>
              <w:t>en</w:t>
            </w:r>
            <w:proofErr w:type="spellEnd"/>
            <w:r>
              <w:t xml:space="preserve"> santé </w:t>
            </w:r>
            <w:proofErr w:type="spellStart"/>
            <w:r>
              <w:t>doit</w:t>
            </w:r>
            <w:proofErr w:type="spellEnd"/>
            <w:r>
              <w:t xml:space="preserve"> </w:t>
            </w:r>
            <w:proofErr w:type="spellStart"/>
            <w:r>
              <w:t>permettre</w:t>
            </w:r>
            <w:proofErr w:type="spellEnd"/>
            <w:r>
              <w:t xml:space="preserve"> de </w:t>
            </w:r>
            <w:proofErr w:type="spellStart"/>
            <w:r>
              <w:t>renforcer</w:t>
            </w:r>
            <w:proofErr w:type="spellEnd"/>
            <w:r>
              <w:t xml:space="preserve"> le leadership des </w:t>
            </w:r>
            <w:proofErr w:type="spellStart"/>
            <w:r>
              <w:t>acteurs</w:t>
            </w:r>
            <w:proofErr w:type="spellEnd"/>
            <w:r>
              <w:t xml:space="preserve"> </w:t>
            </w:r>
            <w:proofErr w:type="spellStart"/>
            <w:r>
              <w:t>communautaires</w:t>
            </w:r>
            <w:proofErr w:type="spellEnd"/>
            <w:r>
              <w:t xml:space="preserve"> dans la </w:t>
            </w:r>
            <w:proofErr w:type="spellStart"/>
            <w:r>
              <w:t>réponse</w:t>
            </w:r>
            <w:proofErr w:type="spellEnd"/>
            <w:r>
              <w:t xml:space="preserve"> au VIH/</w:t>
            </w:r>
            <w:proofErr w:type="spellStart"/>
            <w:r>
              <w:t>sida</w:t>
            </w:r>
            <w:proofErr w:type="spellEnd"/>
            <w:r>
              <w:t xml:space="preserve">. </w:t>
            </w:r>
          </w:p>
          <w:p w14:paraId="7FC72153" w14:textId="77777777" w:rsidR="00095DC8" w:rsidRPr="00095DC8" w:rsidRDefault="00095DC8" w:rsidP="000525BF"/>
          <w:p w14:paraId="2EE9F306" w14:textId="01AA4C25" w:rsidR="001B7DE0" w:rsidRPr="000525BF" w:rsidRDefault="00095DC8" w:rsidP="001B7DE0">
            <w:pPr>
              <w:pStyle w:val="Texteformulaire"/>
              <w:rPr>
                <w:b/>
                <w:iCs/>
                <w:lang w:val="fr-FR"/>
              </w:rPr>
            </w:pPr>
            <w:r w:rsidRPr="000525BF">
              <w:rPr>
                <w:b/>
                <w:iCs/>
                <w:lang w:val="fr-FR"/>
              </w:rPr>
              <w:t>Secteur privé</w:t>
            </w:r>
          </w:p>
          <w:p w14:paraId="117464C9" w14:textId="6D509959" w:rsidR="00840764" w:rsidRDefault="0048543C" w:rsidP="001B7DE0">
            <w:pPr>
              <w:pStyle w:val="Texteformulaire"/>
            </w:pPr>
            <w:proofErr w:type="spellStart"/>
            <w:r>
              <w:t>L’engagement</w:t>
            </w:r>
            <w:proofErr w:type="spellEnd"/>
            <w:r>
              <w:t xml:space="preserve"> du </w:t>
            </w:r>
            <w:proofErr w:type="spellStart"/>
            <w:r>
              <w:t>secteur</w:t>
            </w:r>
            <w:proofErr w:type="spellEnd"/>
            <w:r>
              <w:t xml:space="preserve"> </w:t>
            </w:r>
            <w:proofErr w:type="spellStart"/>
            <w:r>
              <w:t>privé</w:t>
            </w:r>
            <w:proofErr w:type="spellEnd"/>
            <w:r>
              <w:t xml:space="preserve"> dans la </w:t>
            </w:r>
            <w:proofErr w:type="spellStart"/>
            <w:r>
              <w:t>réponse</w:t>
            </w:r>
            <w:proofErr w:type="spellEnd"/>
            <w:r>
              <w:t xml:space="preserve"> </w:t>
            </w:r>
            <w:proofErr w:type="spellStart"/>
            <w:r>
              <w:t>nationale</w:t>
            </w:r>
            <w:proofErr w:type="spellEnd"/>
            <w:r w:rsidR="001B7DE0">
              <w:t>,</w:t>
            </w:r>
            <w:r>
              <w:t xml:space="preserve"> </w:t>
            </w:r>
            <w:r w:rsidR="001B7DE0">
              <w:t xml:space="preserve">qui </w:t>
            </w:r>
            <w:proofErr w:type="spellStart"/>
            <w:r>
              <w:t>passe</w:t>
            </w:r>
            <w:proofErr w:type="spellEnd"/>
            <w:r>
              <w:t xml:space="preserve"> par la Co</w:t>
            </w:r>
            <w:r w:rsidR="001B7DE0">
              <w:t>alition</w:t>
            </w:r>
            <w:r>
              <w:t xml:space="preserve"> des </w:t>
            </w:r>
            <w:proofErr w:type="spellStart"/>
            <w:r>
              <w:t>Entreprises</w:t>
            </w:r>
            <w:proofErr w:type="spellEnd"/>
            <w:r>
              <w:t xml:space="preserve"> </w:t>
            </w:r>
            <w:r w:rsidR="001B7DE0">
              <w:t xml:space="preserve">de la Côte d’Ivoire </w:t>
            </w:r>
            <w:proofErr w:type="spellStart"/>
            <w:r w:rsidR="001B7DE0">
              <w:t>contre</w:t>
            </w:r>
            <w:proofErr w:type="spellEnd"/>
            <w:r w:rsidR="001B7DE0">
              <w:t xml:space="preserve"> le </w:t>
            </w:r>
            <w:proofErr w:type="spellStart"/>
            <w:r w:rsidR="001B7DE0">
              <w:t>sida</w:t>
            </w:r>
            <w:proofErr w:type="spellEnd"/>
            <w:r w:rsidR="001B7DE0">
              <w:t xml:space="preserve"> (CECI) et le </w:t>
            </w:r>
            <w:proofErr w:type="spellStart"/>
            <w:r w:rsidR="001B7DE0">
              <w:t>secteur</w:t>
            </w:r>
            <w:proofErr w:type="spellEnd"/>
            <w:r w:rsidR="001B7DE0">
              <w:t xml:space="preserve"> </w:t>
            </w:r>
            <w:proofErr w:type="spellStart"/>
            <w:r w:rsidR="001B7DE0">
              <w:t>privé</w:t>
            </w:r>
            <w:proofErr w:type="spellEnd"/>
            <w:r w:rsidR="001B7DE0">
              <w:t xml:space="preserve"> de la santé (Association des </w:t>
            </w:r>
            <w:proofErr w:type="spellStart"/>
            <w:r w:rsidR="001B7DE0">
              <w:t>Cliniques</w:t>
            </w:r>
            <w:proofErr w:type="spellEnd"/>
            <w:r w:rsidR="001B7DE0">
              <w:t xml:space="preserve"> </w:t>
            </w:r>
            <w:proofErr w:type="spellStart"/>
            <w:r w:rsidR="001B7DE0">
              <w:t>Privés</w:t>
            </w:r>
            <w:proofErr w:type="spellEnd"/>
            <w:r w:rsidR="001B7DE0">
              <w:t xml:space="preserve"> de Côte d’Ivoire </w:t>
            </w:r>
            <w:r w:rsidR="002C1521">
              <w:t xml:space="preserve">- </w:t>
            </w:r>
            <w:r w:rsidR="001B7DE0">
              <w:t xml:space="preserve">ACPCI), </w:t>
            </w:r>
            <w:proofErr w:type="spellStart"/>
            <w:r w:rsidR="001B7DE0">
              <w:t>joue</w:t>
            </w:r>
            <w:proofErr w:type="spellEnd"/>
            <w:r w:rsidR="001B7DE0">
              <w:t xml:space="preserve"> </w:t>
            </w:r>
            <w:proofErr w:type="spellStart"/>
            <w:r w:rsidR="001B7DE0">
              <w:t>également</w:t>
            </w:r>
            <w:proofErr w:type="spellEnd"/>
            <w:r w:rsidR="001B7DE0">
              <w:t xml:space="preserve"> un </w:t>
            </w:r>
            <w:proofErr w:type="spellStart"/>
            <w:r w:rsidR="001B7DE0">
              <w:t>r</w:t>
            </w:r>
            <w:r w:rsidR="003C1436">
              <w:t>ô</w:t>
            </w:r>
            <w:r w:rsidR="001B7DE0">
              <w:t>le</w:t>
            </w:r>
            <w:proofErr w:type="spellEnd"/>
            <w:r w:rsidR="001B7DE0">
              <w:t xml:space="preserve"> </w:t>
            </w:r>
            <w:proofErr w:type="spellStart"/>
            <w:r w:rsidR="001B7DE0">
              <w:t>significati</w:t>
            </w:r>
            <w:r w:rsidR="002C1521">
              <w:t>f</w:t>
            </w:r>
            <w:proofErr w:type="spellEnd"/>
            <w:r w:rsidR="001B7DE0">
              <w:t xml:space="preserve"> dans la </w:t>
            </w:r>
            <w:proofErr w:type="spellStart"/>
            <w:r w:rsidR="001B7DE0">
              <w:t>prévention</w:t>
            </w:r>
            <w:proofErr w:type="spellEnd"/>
            <w:r w:rsidR="001B7DE0">
              <w:t xml:space="preserve"> et la </w:t>
            </w:r>
            <w:proofErr w:type="spellStart"/>
            <w:r w:rsidR="001B7DE0">
              <w:t>prise</w:t>
            </w:r>
            <w:proofErr w:type="spellEnd"/>
            <w:r w:rsidR="001B7DE0">
              <w:t xml:space="preserve"> </w:t>
            </w:r>
            <w:proofErr w:type="spellStart"/>
            <w:r w:rsidR="001B7DE0">
              <w:t>en</w:t>
            </w:r>
            <w:proofErr w:type="spellEnd"/>
            <w:r w:rsidR="001B7DE0">
              <w:t xml:space="preserve"> charge du VIH.</w:t>
            </w:r>
          </w:p>
          <w:p w14:paraId="268574E5" w14:textId="4817CFD0" w:rsidR="00777F1D" w:rsidRDefault="00840764" w:rsidP="001B7DE0">
            <w:pPr>
              <w:pStyle w:val="Texteformulaire"/>
            </w:pPr>
            <w:r>
              <w:t xml:space="preserve">Les </w:t>
            </w:r>
            <w:proofErr w:type="spellStart"/>
            <w:r>
              <w:t>principaux</w:t>
            </w:r>
            <w:proofErr w:type="spellEnd"/>
            <w:r>
              <w:t xml:space="preserve"> </w:t>
            </w:r>
            <w:proofErr w:type="spellStart"/>
            <w:r>
              <w:t>défis</w:t>
            </w:r>
            <w:proofErr w:type="spellEnd"/>
            <w:r>
              <w:t xml:space="preserve"> </w:t>
            </w:r>
            <w:proofErr w:type="spellStart"/>
            <w:r>
              <w:t>rencontrés</w:t>
            </w:r>
            <w:proofErr w:type="spellEnd"/>
            <w:r>
              <w:t xml:space="preserve"> </w:t>
            </w:r>
            <w:proofErr w:type="spellStart"/>
            <w:r>
              <w:t>sont</w:t>
            </w:r>
            <w:proofErr w:type="spellEnd"/>
            <w:r>
              <w:t xml:space="preserve"> : (</w:t>
            </w:r>
            <w:proofErr w:type="spellStart"/>
            <w:r>
              <w:t>i</w:t>
            </w:r>
            <w:proofErr w:type="spellEnd"/>
            <w:r>
              <w:t xml:space="preserve">) </w:t>
            </w:r>
            <w:proofErr w:type="spellStart"/>
            <w:r>
              <w:t>l’intégration</w:t>
            </w:r>
            <w:proofErr w:type="spellEnd"/>
            <w:r>
              <w:t xml:space="preserve"> de la </w:t>
            </w:r>
            <w:proofErr w:type="spellStart"/>
            <w:r>
              <w:t>prise</w:t>
            </w:r>
            <w:proofErr w:type="spellEnd"/>
            <w:r>
              <w:t xml:space="preserve"> </w:t>
            </w:r>
            <w:proofErr w:type="spellStart"/>
            <w:r>
              <w:t>en</w:t>
            </w:r>
            <w:proofErr w:type="spellEnd"/>
            <w:r>
              <w:t xml:space="preserve"> charge du VIH dans les formations </w:t>
            </w:r>
            <w:proofErr w:type="spellStart"/>
            <w:r>
              <w:t>sanitaires</w:t>
            </w:r>
            <w:proofErr w:type="spellEnd"/>
            <w:r>
              <w:t xml:space="preserve"> </w:t>
            </w:r>
            <w:proofErr w:type="spellStart"/>
            <w:r>
              <w:t>privées</w:t>
            </w:r>
            <w:proofErr w:type="spellEnd"/>
            <w:r>
              <w:t xml:space="preserve"> ; (ii) </w:t>
            </w:r>
            <w:proofErr w:type="spellStart"/>
            <w:r>
              <w:t>l’application</w:t>
            </w:r>
            <w:proofErr w:type="spellEnd"/>
            <w:r>
              <w:t xml:space="preserve"> de la </w:t>
            </w:r>
            <w:proofErr w:type="spellStart"/>
            <w:r>
              <w:t>gratuité</w:t>
            </w:r>
            <w:proofErr w:type="spellEnd"/>
            <w:r>
              <w:t xml:space="preserve"> de la </w:t>
            </w:r>
            <w:proofErr w:type="spellStart"/>
            <w:r>
              <w:t>prise</w:t>
            </w:r>
            <w:proofErr w:type="spellEnd"/>
            <w:r>
              <w:t xml:space="preserve"> </w:t>
            </w:r>
            <w:proofErr w:type="spellStart"/>
            <w:r>
              <w:t>en</w:t>
            </w:r>
            <w:proofErr w:type="spellEnd"/>
            <w:r>
              <w:t xml:space="preserve"> charge du VIH dans </w:t>
            </w:r>
            <w:proofErr w:type="spellStart"/>
            <w:r>
              <w:t>ces</w:t>
            </w:r>
            <w:proofErr w:type="spellEnd"/>
            <w:r>
              <w:t xml:space="preserve"> structures ; (iii) la </w:t>
            </w:r>
            <w:proofErr w:type="spellStart"/>
            <w:r>
              <w:t>mauvaise</w:t>
            </w:r>
            <w:proofErr w:type="spellEnd"/>
            <w:r>
              <w:t xml:space="preserve"> </w:t>
            </w:r>
            <w:proofErr w:type="spellStart"/>
            <w:r>
              <w:t>remontée</w:t>
            </w:r>
            <w:proofErr w:type="spellEnd"/>
            <w:r>
              <w:t xml:space="preserve"> des </w:t>
            </w:r>
            <w:proofErr w:type="spellStart"/>
            <w:r>
              <w:t>données</w:t>
            </w:r>
            <w:proofErr w:type="spellEnd"/>
            <w:r>
              <w:t xml:space="preserve"> dans le </w:t>
            </w:r>
            <w:proofErr w:type="spellStart"/>
            <w:r>
              <w:t>système</w:t>
            </w:r>
            <w:proofErr w:type="spellEnd"/>
            <w:r>
              <w:t xml:space="preserve"> </w:t>
            </w:r>
            <w:proofErr w:type="spellStart"/>
            <w:r>
              <w:t>d’information</w:t>
            </w:r>
            <w:proofErr w:type="spellEnd"/>
            <w:r>
              <w:t xml:space="preserve"> sanitaire, qui ne </w:t>
            </w:r>
            <w:proofErr w:type="spellStart"/>
            <w:r>
              <w:t>permet</w:t>
            </w:r>
            <w:proofErr w:type="spellEnd"/>
            <w:r>
              <w:t xml:space="preserve"> pas de prendre </w:t>
            </w:r>
            <w:proofErr w:type="spellStart"/>
            <w:r>
              <w:t>en</w:t>
            </w:r>
            <w:proofErr w:type="spellEnd"/>
            <w:r>
              <w:t xml:space="preserve"> </w:t>
            </w:r>
            <w:proofErr w:type="spellStart"/>
            <w:r>
              <w:t>compte</w:t>
            </w:r>
            <w:proofErr w:type="spellEnd"/>
            <w:r>
              <w:t xml:space="preserve"> </w:t>
            </w:r>
            <w:proofErr w:type="spellStart"/>
            <w:r>
              <w:t>l’exhaustivité</w:t>
            </w:r>
            <w:proofErr w:type="spellEnd"/>
            <w:r>
              <w:t xml:space="preserve"> des contributions du </w:t>
            </w:r>
            <w:proofErr w:type="spellStart"/>
            <w:r>
              <w:t>secteur</w:t>
            </w:r>
            <w:proofErr w:type="spellEnd"/>
            <w:r>
              <w:t xml:space="preserve"> </w:t>
            </w:r>
            <w:proofErr w:type="spellStart"/>
            <w:r>
              <w:t>privé</w:t>
            </w:r>
            <w:proofErr w:type="spellEnd"/>
            <w:r>
              <w:t xml:space="preserve"> ; (iv) </w:t>
            </w:r>
            <w:proofErr w:type="spellStart"/>
            <w:r>
              <w:t>l’opacité</w:t>
            </w:r>
            <w:proofErr w:type="spellEnd"/>
            <w:r>
              <w:t xml:space="preserve"> dans les </w:t>
            </w:r>
            <w:proofErr w:type="spellStart"/>
            <w:r>
              <w:t>financements</w:t>
            </w:r>
            <w:proofErr w:type="spellEnd"/>
            <w:r>
              <w:t xml:space="preserve"> de la </w:t>
            </w:r>
            <w:proofErr w:type="spellStart"/>
            <w:r>
              <w:t>réponse</w:t>
            </w:r>
            <w:proofErr w:type="spellEnd"/>
            <w:r>
              <w:t xml:space="preserve"> par le </w:t>
            </w:r>
            <w:proofErr w:type="spellStart"/>
            <w:r>
              <w:t>secteur</w:t>
            </w:r>
            <w:proofErr w:type="spellEnd"/>
            <w:r>
              <w:t xml:space="preserve"> </w:t>
            </w:r>
            <w:proofErr w:type="spellStart"/>
            <w:r>
              <w:t>privé</w:t>
            </w:r>
            <w:proofErr w:type="spellEnd"/>
            <w:r>
              <w:t xml:space="preserve"> des </w:t>
            </w:r>
            <w:proofErr w:type="spellStart"/>
            <w:r>
              <w:t>entreprises</w:t>
            </w:r>
            <w:proofErr w:type="spellEnd"/>
            <w:r>
              <w:t>.</w:t>
            </w:r>
          </w:p>
          <w:p w14:paraId="34D1F65F" w14:textId="3D7001D1" w:rsidR="002809EB" w:rsidRPr="00306FB8" w:rsidRDefault="003C1436" w:rsidP="00750CA9">
            <w:r w:rsidRPr="000525BF">
              <w:rPr>
                <w:rFonts w:ascii="Arial" w:eastAsiaTheme="minorHAnsi" w:hAnsi="Arial"/>
                <w:sz w:val="22"/>
                <w:szCs w:val="22"/>
                <w:lang w:val="en-US"/>
              </w:rPr>
              <w:t xml:space="preserve">Le </w:t>
            </w:r>
            <w:proofErr w:type="spellStart"/>
            <w:r w:rsidRPr="000525BF">
              <w:rPr>
                <w:rFonts w:ascii="Arial" w:eastAsiaTheme="minorHAnsi" w:hAnsi="Arial"/>
                <w:sz w:val="22"/>
                <w:szCs w:val="22"/>
                <w:lang w:val="en-US"/>
              </w:rPr>
              <w:t>projet</w:t>
            </w:r>
            <w:proofErr w:type="spellEnd"/>
            <w:r w:rsidRPr="000525BF">
              <w:rPr>
                <w:rFonts w:ascii="Arial" w:eastAsiaTheme="minorHAnsi" w:hAnsi="Arial"/>
                <w:sz w:val="22"/>
                <w:szCs w:val="22"/>
                <w:lang w:val="en-US"/>
              </w:rPr>
              <w:t xml:space="preserve"> P</w:t>
            </w:r>
            <w:r w:rsidR="00EF576B" w:rsidRPr="000525BF">
              <w:rPr>
                <w:rFonts w:ascii="Arial" w:eastAsiaTheme="minorHAnsi" w:hAnsi="Arial"/>
                <w:sz w:val="22"/>
                <w:szCs w:val="22"/>
                <w:lang w:val="en-US"/>
              </w:rPr>
              <w:t>SH</w:t>
            </w:r>
            <w:r w:rsidRPr="000525BF">
              <w:rPr>
                <w:rFonts w:ascii="Arial" w:eastAsiaTheme="minorHAnsi" w:hAnsi="Arial"/>
                <w:sz w:val="22"/>
                <w:szCs w:val="22"/>
                <w:lang w:val="en-US"/>
              </w:rPr>
              <w:t>P</w:t>
            </w:r>
            <w:r w:rsidR="00EF576B" w:rsidRPr="000525BF">
              <w:rPr>
                <w:rFonts w:ascii="Arial" w:eastAsiaTheme="minorHAnsi" w:hAnsi="Arial"/>
                <w:sz w:val="22"/>
                <w:szCs w:val="22"/>
                <w:lang w:val="en-US"/>
              </w:rPr>
              <w:t xml:space="preserve"> </w:t>
            </w:r>
            <w:proofErr w:type="spellStart"/>
            <w:r w:rsidR="00EF576B" w:rsidRPr="000525BF">
              <w:rPr>
                <w:rFonts w:ascii="Arial" w:eastAsiaTheme="minorHAnsi" w:hAnsi="Arial"/>
                <w:sz w:val="22"/>
                <w:szCs w:val="22"/>
                <w:lang w:val="en-US"/>
              </w:rPr>
              <w:t>financé</w:t>
            </w:r>
            <w:proofErr w:type="spellEnd"/>
            <w:r w:rsidR="00EF576B" w:rsidRPr="000525BF">
              <w:rPr>
                <w:rFonts w:ascii="Arial" w:eastAsiaTheme="minorHAnsi" w:hAnsi="Arial"/>
                <w:sz w:val="22"/>
                <w:szCs w:val="22"/>
                <w:lang w:val="en-US"/>
              </w:rPr>
              <w:t xml:space="preserve"> par le PEPFAR</w:t>
            </w:r>
            <w:r w:rsidR="00EF576B">
              <w:rPr>
                <w:rFonts w:ascii="Arial" w:eastAsiaTheme="minorHAnsi" w:hAnsi="Arial"/>
                <w:sz w:val="22"/>
                <w:szCs w:val="22"/>
                <w:lang w:val="en-US"/>
              </w:rPr>
              <w:t xml:space="preserve"> </w:t>
            </w:r>
            <w:proofErr w:type="spellStart"/>
            <w:r w:rsidR="00EF576B">
              <w:rPr>
                <w:rFonts w:ascii="Arial" w:eastAsiaTheme="minorHAnsi" w:hAnsi="Arial"/>
                <w:sz w:val="22"/>
                <w:szCs w:val="22"/>
                <w:lang w:val="en-US"/>
              </w:rPr>
              <w:t>jusqu’en</w:t>
            </w:r>
            <w:proofErr w:type="spellEnd"/>
            <w:r w:rsidR="00EF576B">
              <w:rPr>
                <w:rFonts w:ascii="Arial" w:eastAsiaTheme="minorHAnsi" w:hAnsi="Arial"/>
                <w:sz w:val="22"/>
                <w:szCs w:val="22"/>
                <w:lang w:val="en-US"/>
              </w:rPr>
              <w:t xml:space="preserve"> 2019</w:t>
            </w:r>
            <w:r w:rsidR="00EF576B" w:rsidRPr="000525BF">
              <w:rPr>
                <w:rFonts w:ascii="Arial" w:eastAsiaTheme="minorHAnsi" w:hAnsi="Arial"/>
                <w:sz w:val="22"/>
                <w:szCs w:val="22"/>
                <w:lang w:val="en-US"/>
              </w:rPr>
              <w:t xml:space="preserve"> a </w:t>
            </w:r>
            <w:proofErr w:type="spellStart"/>
            <w:r w:rsidR="00EF576B">
              <w:rPr>
                <w:rFonts w:ascii="Arial" w:eastAsiaTheme="minorHAnsi" w:hAnsi="Arial"/>
                <w:sz w:val="22"/>
                <w:szCs w:val="22"/>
                <w:lang w:val="en-US"/>
              </w:rPr>
              <w:t>notamment</w:t>
            </w:r>
            <w:proofErr w:type="spellEnd"/>
            <w:r w:rsidR="00EF576B">
              <w:rPr>
                <w:rFonts w:ascii="Arial" w:eastAsiaTheme="minorHAnsi" w:hAnsi="Arial"/>
                <w:sz w:val="22"/>
                <w:szCs w:val="22"/>
                <w:lang w:val="en-US"/>
              </w:rPr>
              <w:t xml:space="preserve"> </w:t>
            </w:r>
            <w:proofErr w:type="spellStart"/>
            <w:r w:rsidR="00EF576B" w:rsidRPr="000525BF">
              <w:rPr>
                <w:rFonts w:ascii="Arial" w:eastAsiaTheme="minorHAnsi" w:hAnsi="Arial"/>
                <w:sz w:val="22"/>
                <w:szCs w:val="22"/>
                <w:lang w:val="en-US"/>
              </w:rPr>
              <w:t>permis</w:t>
            </w:r>
            <w:proofErr w:type="spellEnd"/>
            <w:r w:rsidR="00EF576B" w:rsidRPr="000525BF">
              <w:rPr>
                <w:rFonts w:ascii="Arial" w:eastAsiaTheme="minorHAnsi" w:hAnsi="Arial"/>
                <w:sz w:val="22"/>
                <w:szCs w:val="22"/>
                <w:lang w:val="en-US"/>
              </w:rPr>
              <w:t xml:space="preserve"> de </w:t>
            </w:r>
            <w:proofErr w:type="spellStart"/>
            <w:r w:rsidR="00EF576B" w:rsidRPr="000525BF">
              <w:rPr>
                <w:rFonts w:ascii="Arial" w:eastAsiaTheme="minorHAnsi" w:hAnsi="Arial"/>
                <w:sz w:val="22"/>
                <w:szCs w:val="22"/>
                <w:lang w:val="en-US"/>
              </w:rPr>
              <w:t>renforcer</w:t>
            </w:r>
            <w:proofErr w:type="spellEnd"/>
            <w:r w:rsidR="00EF576B" w:rsidRPr="000525BF">
              <w:rPr>
                <w:rFonts w:ascii="Arial" w:eastAsiaTheme="minorHAnsi" w:hAnsi="Arial"/>
                <w:sz w:val="22"/>
                <w:szCs w:val="22"/>
                <w:lang w:val="en-US"/>
              </w:rPr>
              <w:t xml:space="preserve"> la contribution </w:t>
            </w:r>
            <w:r w:rsidR="00EF576B">
              <w:rPr>
                <w:rFonts w:ascii="Arial" w:eastAsiaTheme="minorHAnsi" w:hAnsi="Arial"/>
                <w:sz w:val="22"/>
                <w:szCs w:val="22"/>
                <w:lang w:val="en-US"/>
              </w:rPr>
              <w:t xml:space="preserve">du </w:t>
            </w:r>
            <w:proofErr w:type="spellStart"/>
            <w:r w:rsidR="00EF576B" w:rsidRPr="00EF576B">
              <w:rPr>
                <w:rFonts w:ascii="Arial" w:eastAsiaTheme="minorHAnsi" w:hAnsi="Arial"/>
                <w:sz w:val="22"/>
                <w:szCs w:val="22"/>
                <w:lang w:val="en-US"/>
              </w:rPr>
              <w:t>secteur</w:t>
            </w:r>
            <w:proofErr w:type="spellEnd"/>
            <w:r w:rsidR="00EF576B" w:rsidRPr="00EF576B">
              <w:rPr>
                <w:rFonts w:ascii="Arial" w:eastAsiaTheme="minorHAnsi" w:hAnsi="Arial"/>
                <w:sz w:val="22"/>
                <w:szCs w:val="22"/>
                <w:lang w:val="en-US"/>
              </w:rPr>
              <w:t xml:space="preserve"> </w:t>
            </w:r>
            <w:proofErr w:type="spellStart"/>
            <w:r w:rsidR="00EF576B" w:rsidRPr="00EF576B">
              <w:rPr>
                <w:rFonts w:ascii="Arial" w:eastAsiaTheme="minorHAnsi" w:hAnsi="Arial"/>
                <w:sz w:val="22"/>
                <w:szCs w:val="22"/>
                <w:lang w:val="en-US"/>
              </w:rPr>
              <w:t>privé</w:t>
            </w:r>
            <w:proofErr w:type="spellEnd"/>
            <w:r w:rsidR="00EF576B" w:rsidRPr="00EF576B">
              <w:rPr>
                <w:rFonts w:ascii="Arial" w:eastAsiaTheme="minorHAnsi" w:hAnsi="Arial"/>
                <w:sz w:val="22"/>
                <w:szCs w:val="22"/>
                <w:lang w:val="en-US"/>
              </w:rPr>
              <w:t xml:space="preserve"> de la santé</w:t>
            </w:r>
            <w:r w:rsidR="00EF576B">
              <w:rPr>
                <w:rFonts w:ascii="Arial" w:eastAsiaTheme="minorHAnsi" w:hAnsi="Arial"/>
                <w:sz w:val="22"/>
                <w:szCs w:val="22"/>
                <w:lang w:val="en-US"/>
              </w:rPr>
              <w:t xml:space="preserve"> dans le </w:t>
            </w:r>
            <w:proofErr w:type="spellStart"/>
            <w:r w:rsidR="00EF576B">
              <w:rPr>
                <w:rFonts w:ascii="Arial" w:eastAsiaTheme="minorHAnsi" w:hAnsi="Arial"/>
                <w:sz w:val="22"/>
                <w:szCs w:val="22"/>
                <w:lang w:val="en-US"/>
              </w:rPr>
              <w:t>dépistage</w:t>
            </w:r>
            <w:proofErr w:type="spellEnd"/>
            <w:r w:rsidR="00EF576B">
              <w:rPr>
                <w:rFonts w:ascii="Arial" w:eastAsiaTheme="minorHAnsi" w:hAnsi="Arial"/>
                <w:sz w:val="22"/>
                <w:szCs w:val="22"/>
                <w:lang w:val="en-US"/>
              </w:rPr>
              <w:t xml:space="preserve"> et la </w:t>
            </w:r>
            <w:proofErr w:type="spellStart"/>
            <w:r w:rsidR="00EF576B">
              <w:rPr>
                <w:rFonts w:ascii="Arial" w:eastAsiaTheme="minorHAnsi" w:hAnsi="Arial"/>
                <w:sz w:val="22"/>
                <w:szCs w:val="22"/>
                <w:lang w:val="en-US"/>
              </w:rPr>
              <w:t>prise</w:t>
            </w:r>
            <w:proofErr w:type="spellEnd"/>
            <w:r w:rsidR="00EF576B">
              <w:rPr>
                <w:rFonts w:ascii="Arial" w:eastAsiaTheme="minorHAnsi" w:hAnsi="Arial"/>
                <w:sz w:val="22"/>
                <w:szCs w:val="22"/>
                <w:lang w:val="en-US"/>
              </w:rPr>
              <w:t xml:space="preserve"> </w:t>
            </w:r>
            <w:proofErr w:type="spellStart"/>
            <w:r w:rsidR="00EF576B">
              <w:rPr>
                <w:rFonts w:ascii="Arial" w:eastAsiaTheme="minorHAnsi" w:hAnsi="Arial"/>
                <w:sz w:val="22"/>
                <w:szCs w:val="22"/>
                <w:lang w:val="en-US"/>
              </w:rPr>
              <w:t>en</w:t>
            </w:r>
            <w:proofErr w:type="spellEnd"/>
            <w:r w:rsidR="00EF576B">
              <w:rPr>
                <w:rFonts w:ascii="Arial" w:eastAsiaTheme="minorHAnsi" w:hAnsi="Arial"/>
                <w:sz w:val="22"/>
                <w:szCs w:val="22"/>
                <w:lang w:val="en-US"/>
              </w:rPr>
              <w:t xml:space="preserve"> charge des PVVIH</w:t>
            </w:r>
            <w:r w:rsidR="00084F75">
              <w:rPr>
                <w:rFonts w:ascii="Arial" w:eastAsiaTheme="minorHAnsi" w:hAnsi="Arial"/>
                <w:sz w:val="22"/>
                <w:szCs w:val="22"/>
                <w:lang w:val="en-US"/>
              </w:rPr>
              <w:t xml:space="preserve"> </w:t>
            </w:r>
            <w:r w:rsidR="0002374C" w:rsidRPr="0002374C">
              <w:rPr>
                <w:i/>
                <w:iCs/>
                <w:sz w:val="22"/>
                <w:szCs w:val="22"/>
              </w:rPr>
              <w:t xml:space="preserve">(Annexe </w:t>
            </w:r>
            <w:r w:rsidR="0002374C">
              <w:rPr>
                <w:i/>
                <w:iCs/>
                <w:sz w:val="22"/>
                <w:szCs w:val="22"/>
              </w:rPr>
              <w:t>2</w:t>
            </w:r>
            <w:r w:rsidR="0002374C" w:rsidRPr="0002374C">
              <w:rPr>
                <w:i/>
                <w:iCs/>
                <w:sz w:val="22"/>
                <w:szCs w:val="22"/>
              </w:rPr>
              <w:t>1)</w:t>
            </w:r>
            <w:r w:rsidR="00EF576B">
              <w:rPr>
                <w:rFonts w:ascii="Arial" w:eastAsiaTheme="minorHAnsi" w:hAnsi="Arial"/>
                <w:sz w:val="22"/>
                <w:szCs w:val="22"/>
                <w:lang w:val="en-US"/>
              </w:rPr>
              <w:t xml:space="preserve">. </w:t>
            </w:r>
          </w:p>
        </w:tc>
      </w:tr>
    </w:tbl>
    <w:p w14:paraId="1C61FC08" w14:textId="748207F0" w:rsidR="00DE1608" w:rsidRPr="00E80CEF" w:rsidRDefault="00DE1608" w:rsidP="00A54AAB">
      <w:pPr>
        <w:spacing w:after="0"/>
      </w:pPr>
    </w:p>
    <w:p w14:paraId="3C979192" w14:textId="614B66E4" w:rsidR="00A321C0" w:rsidRPr="00D236CA" w:rsidRDefault="00A321C0" w:rsidP="00E80CEF">
      <w:pPr>
        <w:pStyle w:val="Heading2"/>
        <w:numPr>
          <w:ilvl w:val="1"/>
          <w:numId w:val="24"/>
        </w:numPr>
        <w:shd w:val="clear" w:color="auto" w:fill="D9D9D9" w:themeFill="background1" w:themeFillShade="D9"/>
        <w:spacing w:before="0"/>
        <w:contextualSpacing/>
      </w:pPr>
      <w:r w:rsidRPr="00E80CEF">
        <w:t>Enseignements tirés des investissements du Fonds mondial et d’autres partenaires</w:t>
      </w:r>
    </w:p>
    <w:p w14:paraId="3E2C8384" w14:textId="77777777" w:rsidR="009B6C0D" w:rsidRPr="00D236CA" w:rsidRDefault="009B6C0D" w:rsidP="009B6C0D">
      <w:pPr>
        <w:pStyle w:val="ListParagraph"/>
        <w:spacing w:after="0"/>
        <w:ind w:left="0"/>
      </w:pPr>
    </w:p>
    <w:p w14:paraId="5A03838B" w14:textId="1CCBCC41" w:rsidR="00A321C0" w:rsidRDefault="00EF7EA4" w:rsidP="009B6C0D">
      <w:pPr>
        <w:pStyle w:val="ListParagraph"/>
        <w:spacing w:after="0"/>
        <w:ind w:left="0"/>
      </w:pPr>
      <w:r>
        <w:t xml:space="preserve">Décrire la façon dont les investissements du Fonds mondial, du pays et d’autres partenaires ont soutenu les objectifs nationaux en matière de santé pendant la période d’allocation actuelle. Inclure les principaux </w:t>
      </w:r>
      <w:r>
        <w:rPr>
          <w:b/>
        </w:rPr>
        <w:t>enseignements tirés</w:t>
      </w:r>
      <w:r>
        <w:t xml:space="preserve"> </w:t>
      </w:r>
      <w:r>
        <w:lastRenderedPageBreak/>
        <w:t>qui s’appliquent à la présente demande de financement (par exemple, les innovations ou les obstacles liés à la prestation de services).</w:t>
      </w:r>
    </w:p>
    <w:p w14:paraId="37A42048" w14:textId="77777777" w:rsidR="009B6C0D" w:rsidRPr="00D236CA" w:rsidRDefault="009B6C0D" w:rsidP="009B6C0D">
      <w:pPr>
        <w:pStyle w:val="ListParagraph"/>
        <w:spacing w:after="0"/>
        <w:ind w:left="0"/>
      </w:pPr>
    </w:p>
    <w:tbl>
      <w:tblPr>
        <w:tblStyle w:val="TableGrid"/>
        <w:tblW w:w="0" w:type="auto"/>
        <w:tblLook w:val="04A0" w:firstRow="1" w:lastRow="0" w:firstColumn="1" w:lastColumn="0" w:noHBand="0" w:noVBand="1"/>
      </w:tblPr>
      <w:tblGrid>
        <w:gridCol w:w="10456"/>
      </w:tblGrid>
      <w:tr w:rsidR="00A321C0" w:rsidRPr="00F00BB3" w14:paraId="0C08AB5F" w14:textId="77777777" w:rsidTr="007543E4">
        <w:tc>
          <w:tcPr>
            <w:tcW w:w="10456" w:type="dxa"/>
          </w:tcPr>
          <w:p w14:paraId="60667B38" w14:textId="1688CDD1" w:rsidR="00C63FFC" w:rsidRPr="00750CA9" w:rsidRDefault="00CD235A" w:rsidP="00390EA4">
            <w:pPr>
              <w:pStyle w:val="Texteformulaire"/>
              <w:rPr>
                <w:lang w:val="fr-FR"/>
              </w:rPr>
            </w:pPr>
            <w:r w:rsidRPr="00750CA9">
              <w:rPr>
                <w:lang w:val="fr-FR"/>
              </w:rPr>
              <w:t>Avec l’engagement de l’Etat</w:t>
            </w:r>
            <w:r w:rsidR="008E5FF9" w:rsidRPr="00750CA9">
              <w:rPr>
                <w:lang w:val="fr-FR"/>
              </w:rPr>
              <w:t>,</w:t>
            </w:r>
            <w:r w:rsidRPr="00750CA9">
              <w:rPr>
                <w:lang w:val="fr-FR"/>
              </w:rPr>
              <w:t xml:space="preserve"> le soutien du PEPFAR et des autres bailleurs, la subvention NFM2 du Fonds Mondial a permis à la Côte d’Ivoire d’accélérer </w:t>
            </w:r>
            <w:r w:rsidR="008E5FF9" w:rsidRPr="00750CA9">
              <w:rPr>
                <w:lang w:val="fr-FR"/>
              </w:rPr>
              <w:t>la riposte à l’épidémie de VIH/sida,</w:t>
            </w:r>
            <w:r w:rsidRPr="00750CA9">
              <w:rPr>
                <w:lang w:val="fr-FR"/>
              </w:rPr>
              <w:t xml:space="preserve"> pour atteindre les objectifs du Fast </w:t>
            </w:r>
            <w:proofErr w:type="spellStart"/>
            <w:r w:rsidRPr="00750CA9">
              <w:rPr>
                <w:lang w:val="fr-FR"/>
              </w:rPr>
              <w:t>track</w:t>
            </w:r>
            <w:proofErr w:type="spellEnd"/>
            <w:r w:rsidRPr="00750CA9">
              <w:rPr>
                <w:lang w:val="fr-FR"/>
              </w:rPr>
              <w:t xml:space="preserve"> de l’ONUSIDA et les cibles des 3x90, conformément </w:t>
            </w:r>
            <w:r w:rsidR="008E5FF9" w:rsidRPr="00750CA9">
              <w:rPr>
                <w:lang w:val="fr-FR"/>
              </w:rPr>
              <w:t xml:space="preserve">au </w:t>
            </w:r>
            <w:r w:rsidRPr="00750CA9">
              <w:rPr>
                <w:lang w:val="fr-FR"/>
              </w:rPr>
              <w:t xml:space="preserve">PSN 2016-2020 et </w:t>
            </w:r>
            <w:proofErr w:type="gramStart"/>
            <w:r w:rsidR="008E5FF9" w:rsidRPr="00750CA9">
              <w:rPr>
                <w:lang w:val="fr-FR"/>
              </w:rPr>
              <w:t>au</w:t>
            </w:r>
            <w:proofErr w:type="gramEnd"/>
            <w:r w:rsidRPr="00750CA9">
              <w:rPr>
                <w:lang w:val="fr-FR"/>
              </w:rPr>
              <w:t xml:space="preserve"> </w:t>
            </w:r>
            <w:r w:rsidR="009360FD">
              <w:rPr>
                <w:lang w:val="fr-FR" w:bidi="fr-FR"/>
              </w:rPr>
              <w:t>P</w:t>
            </w:r>
            <w:r w:rsidRPr="00D53A20">
              <w:rPr>
                <w:lang w:val="fr-FR" w:bidi="fr-FR"/>
              </w:rPr>
              <w:t xml:space="preserve">lan </w:t>
            </w:r>
            <w:r w:rsidR="009360FD">
              <w:rPr>
                <w:lang w:val="fr-FR" w:bidi="fr-FR"/>
              </w:rPr>
              <w:t>O</w:t>
            </w:r>
            <w:r w:rsidRPr="00D53A20">
              <w:rPr>
                <w:lang w:val="fr-FR" w:bidi="fr-FR"/>
              </w:rPr>
              <w:t>pérationnel d’</w:t>
            </w:r>
            <w:r w:rsidR="009360FD">
              <w:rPr>
                <w:lang w:val="fr-FR" w:bidi="fr-FR"/>
              </w:rPr>
              <w:t>A</w:t>
            </w:r>
            <w:r w:rsidRPr="00D53A20">
              <w:rPr>
                <w:lang w:val="fr-FR" w:bidi="fr-FR"/>
              </w:rPr>
              <w:t>ccélération</w:t>
            </w:r>
            <w:r w:rsidRPr="00750CA9">
              <w:rPr>
                <w:lang w:val="fr-FR"/>
              </w:rPr>
              <w:t xml:space="preserve"> 2019-2020</w:t>
            </w:r>
            <w:r w:rsidR="00515476">
              <w:rPr>
                <w:lang w:val="fr-FR"/>
              </w:rPr>
              <w:t xml:space="preserve"> </w:t>
            </w:r>
            <w:r w:rsidR="0002374C" w:rsidRPr="00084F75">
              <w:rPr>
                <w:i/>
                <w:iCs/>
                <w:lang w:val="fr-FR"/>
              </w:rPr>
              <w:t xml:space="preserve">(Annexe </w:t>
            </w:r>
            <w:r w:rsidR="0002374C">
              <w:rPr>
                <w:i/>
                <w:iCs/>
                <w:lang w:val="fr-FR"/>
              </w:rPr>
              <w:t>22</w:t>
            </w:r>
            <w:r w:rsidR="0002374C" w:rsidRPr="00084F75">
              <w:rPr>
                <w:i/>
                <w:iCs/>
                <w:lang w:val="fr-FR"/>
              </w:rPr>
              <w:t>)</w:t>
            </w:r>
            <w:r w:rsidRPr="00D53A20">
              <w:rPr>
                <w:lang w:val="fr-FR" w:bidi="fr-FR"/>
              </w:rPr>
              <w:t>.</w:t>
            </w:r>
            <w:r w:rsidR="008E5FF9" w:rsidRPr="00D53A20">
              <w:rPr>
                <w:lang w:val="fr-FR" w:bidi="fr-FR"/>
              </w:rPr>
              <w:t xml:space="preserve"> </w:t>
            </w:r>
          </w:p>
          <w:p w14:paraId="3B278900" w14:textId="77777777" w:rsidR="00C63FFC" w:rsidRPr="00750CA9" w:rsidRDefault="008E5FF9" w:rsidP="00390EA4">
            <w:pPr>
              <w:pStyle w:val="Texteformulaire"/>
              <w:rPr>
                <w:lang w:val="fr-FR"/>
              </w:rPr>
            </w:pPr>
            <w:r w:rsidRPr="00750CA9">
              <w:rPr>
                <w:lang w:val="fr-FR"/>
              </w:rPr>
              <w:t xml:space="preserve">Par son importante </w:t>
            </w:r>
            <w:r w:rsidR="00CD235A" w:rsidRPr="00750CA9">
              <w:rPr>
                <w:lang w:val="fr-FR"/>
              </w:rPr>
              <w:t>contribution dans l’a</w:t>
            </w:r>
            <w:r w:rsidRPr="00750CA9">
              <w:rPr>
                <w:lang w:val="fr-FR"/>
              </w:rPr>
              <w:t>cquisition des produits de santé (</w:t>
            </w:r>
            <w:r w:rsidR="00CD235A" w:rsidRPr="00750CA9">
              <w:rPr>
                <w:lang w:val="fr-FR"/>
              </w:rPr>
              <w:t xml:space="preserve">ARV, </w:t>
            </w:r>
            <w:r w:rsidRPr="00750CA9">
              <w:rPr>
                <w:lang w:val="fr-FR"/>
              </w:rPr>
              <w:t>tests</w:t>
            </w:r>
            <w:r w:rsidR="00CD235A" w:rsidRPr="00750CA9">
              <w:rPr>
                <w:lang w:val="fr-FR"/>
              </w:rPr>
              <w:t xml:space="preserve"> et intrants de laboratoire</w:t>
            </w:r>
            <w:r w:rsidRPr="00750CA9">
              <w:rPr>
                <w:lang w:val="fr-FR"/>
              </w:rPr>
              <w:t>)</w:t>
            </w:r>
            <w:r w:rsidR="00CD235A" w:rsidRPr="00750CA9">
              <w:rPr>
                <w:lang w:val="fr-FR"/>
              </w:rPr>
              <w:t xml:space="preserve">, mais aussi son appui </w:t>
            </w:r>
            <w:r w:rsidRPr="00750CA9">
              <w:rPr>
                <w:lang w:val="fr-FR"/>
              </w:rPr>
              <w:t>en matière de Renforcement du Système de Santé (R</w:t>
            </w:r>
            <w:r w:rsidR="00CD235A" w:rsidRPr="00750CA9">
              <w:rPr>
                <w:lang w:val="fr-FR"/>
              </w:rPr>
              <w:t>SS</w:t>
            </w:r>
            <w:r w:rsidRPr="00750CA9">
              <w:rPr>
                <w:lang w:val="fr-FR"/>
              </w:rPr>
              <w:t>)</w:t>
            </w:r>
            <w:r w:rsidR="00CD235A" w:rsidRPr="00750CA9">
              <w:rPr>
                <w:lang w:val="fr-FR"/>
              </w:rPr>
              <w:t>, l’</w:t>
            </w:r>
            <w:r w:rsidRPr="00750CA9">
              <w:rPr>
                <w:lang w:val="fr-FR"/>
              </w:rPr>
              <w:t>engagement</w:t>
            </w:r>
            <w:r w:rsidR="00CD235A" w:rsidRPr="00750CA9">
              <w:rPr>
                <w:lang w:val="fr-FR"/>
              </w:rPr>
              <w:t xml:space="preserve"> du FM s’inscrit dans une vision globale </w:t>
            </w:r>
            <w:r w:rsidRPr="00750CA9">
              <w:rPr>
                <w:lang w:val="fr-FR"/>
              </w:rPr>
              <w:t>à l’échelle du pays</w:t>
            </w:r>
            <w:r w:rsidR="00CD235A" w:rsidRPr="00750CA9">
              <w:rPr>
                <w:lang w:val="fr-FR"/>
              </w:rPr>
              <w:t xml:space="preserve">. </w:t>
            </w:r>
          </w:p>
          <w:p w14:paraId="2815A96E" w14:textId="7A10D8D0" w:rsidR="00C63FFC" w:rsidRPr="00750CA9" w:rsidRDefault="00C63FFC" w:rsidP="00C63FFC">
            <w:pPr>
              <w:pStyle w:val="Texteformulaire"/>
              <w:rPr>
                <w:lang w:val="fr-FR"/>
              </w:rPr>
            </w:pPr>
            <w:r w:rsidRPr="00750CA9">
              <w:rPr>
                <w:lang w:val="fr-FR"/>
              </w:rPr>
              <w:t>La revue finale du PSN 2016-2020 qui a intégré globalement le financement FM a ainsi permis d’apprécier le niveau d’atteinte des objectifs préalablement assignés</w:t>
            </w:r>
            <w:r w:rsidR="004C30D8">
              <w:rPr>
                <w:lang w:val="fr-FR" w:bidi="fr-FR"/>
              </w:rPr>
              <w:t>,</w:t>
            </w:r>
            <w:r w:rsidRPr="00750CA9">
              <w:rPr>
                <w:lang w:val="fr-FR"/>
              </w:rPr>
              <w:t xml:space="preserve"> mais aussi de dégager les principales leçons et gaps majeurs qui ont orienté l’élaboration de la présente demande</w:t>
            </w:r>
            <w:r w:rsidR="00DB34A2">
              <w:rPr>
                <w:lang w:val="fr-FR" w:bidi="fr-FR"/>
              </w:rPr>
              <w:t xml:space="preserve"> </w:t>
            </w:r>
            <w:r w:rsidR="0002374C" w:rsidRPr="00084F75">
              <w:rPr>
                <w:i/>
                <w:iCs/>
                <w:lang w:val="fr-FR"/>
              </w:rPr>
              <w:t>(Annexe 1)</w:t>
            </w:r>
            <w:r w:rsidR="00EC44B1">
              <w:rPr>
                <w:i/>
                <w:iCs/>
                <w:lang w:val="fr-FR"/>
              </w:rPr>
              <w:t xml:space="preserve"> </w:t>
            </w:r>
            <w:r w:rsidR="00DB34A2">
              <w:rPr>
                <w:lang w:val="fr-FR" w:bidi="fr-FR"/>
              </w:rPr>
              <w:t>:</w:t>
            </w:r>
            <w:r w:rsidRPr="00750CA9">
              <w:rPr>
                <w:lang w:val="fr-FR"/>
              </w:rPr>
              <w:t xml:space="preserve"> </w:t>
            </w:r>
          </w:p>
          <w:p w14:paraId="5D1AA00D" w14:textId="77777777" w:rsidR="00CD235A" w:rsidRPr="00750CA9" w:rsidRDefault="00CD235A" w:rsidP="00750CA9">
            <w:pPr>
              <w:pStyle w:val="liste1"/>
            </w:pPr>
            <w:r w:rsidRPr="00750CA9">
              <w:t>Dans le domaine de la prévention, les activités de sensibilisation ont touché 785 698 jeunes de 15 à 24 ans, soit 39% de la cible. La hausse des cas d’IST et de nouvelles infections VIH chez les jeunes indique que d’importants défis demeurent, notamment en matière de disponibilité et d’utilisation des services, ainsi que d’appropriation des messages parmi eux, avec le changement du comportement qui doit suivre. </w:t>
            </w:r>
          </w:p>
          <w:p w14:paraId="0E234A17" w14:textId="03E896AC" w:rsidR="00C63FFC" w:rsidRPr="00750CA9" w:rsidRDefault="00CD235A" w:rsidP="00750CA9">
            <w:pPr>
              <w:pStyle w:val="liste1"/>
              <w:numPr>
                <w:ilvl w:val="1"/>
                <w:numId w:val="36"/>
              </w:numPr>
            </w:pPr>
            <w:r w:rsidRPr="00750CA9">
              <w:t>Au total, 74 930 823 préservatifs ont pu être distribués entre 2018 et 2019 (moins de 50% des besoins annuels). Mais l’approche de marché très axée sur le marketing social ne parvient pas à couvrir les besoins du pays. La distribution gratuite dans les groupes cibles apparait insuffisante par rapport aux besoins des intéressés.</w:t>
            </w:r>
          </w:p>
          <w:p w14:paraId="44565C09" w14:textId="165A7721" w:rsidR="00CD235A" w:rsidRPr="00750CA9" w:rsidRDefault="00CD235A" w:rsidP="00750CA9">
            <w:pPr>
              <w:pStyle w:val="liste1"/>
              <w:numPr>
                <w:ilvl w:val="1"/>
                <w:numId w:val="36"/>
              </w:numPr>
            </w:pPr>
            <w:r w:rsidRPr="00750CA9">
              <w:t xml:space="preserve">L’extension de l’intégration de la prise en charge des populations clés dans les structures publiques (35 structures) et les efforts déployés par les acteurs </w:t>
            </w:r>
            <w:r w:rsidRPr="0039052D">
              <w:t>communautaire</w:t>
            </w:r>
            <w:r w:rsidR="007E2110">
              <w:t>s</w:t>
            </w:r>
            <w:r w:rsidRPr="00750CA9">
              <w:t xml:space="preserve"> ont amélioré l’accès aux soins des </w:t>
            </w:r>
            <w:proofErr w:type="spellStart"/>
            <w:r w:rsidRPr="00750CA9">
              <w:t>KPs</w:t>
            </w:r>
            <w:proofErr w:type="spellEnd"/>
            <w:r w:rsidRPr="00750CA9">
              <w:t>. En 2019, 67% du nombre estimé des TS avaient connaissance de leur statut sérologique et 62% des TS dépistées positives étaient traitées par ARV</w:t>
            </w:r>
            <w:r w:rsidRPr="00750CA9">
              <w:rPr>
                <w:lang w:val="fr-CH"/>
              </w:rPr>
              <w:t>.</w:t>
            </w:r>
            <w:r w:rsidR="000525BF">
              <w:t xml:space="preserve"> (44% des HSH)</w:t>
            </w:r>
            <w:r w:rsidRPr="00D53A20">
              <w:t>.</w:t>
            </w:r>
            <w:r w:rsidRPr="00750CA9">
              <w:t xml:space="preserve"> La modélisation GOALS a indiqué que l'investissement dans la prévention chez les TS est une des interventions les plus efficaces. Pour ses impacts directs et indirects, cet investissement sera renforcé dans le NFM3 pour maintenir et accélérer les gains. A noter que la mise en œuvre de la </w:t>
            </w:r>
            <w:proofErr w:type="spellStart"/>
            <w:r w:rsidRPr="00750CA9">
              <w:t>PrEP</w:t>
            </w:r>
            <w:proofErr w:type="spellEnd"/>
            <w:r w:rsidRPr="00750CA9">
              <w:t xml:space="preserve"> pour les TS</w:t>
            </w:r>
            <w:r w:rsidR="00C63FFC" w:rsidRPr="00750CA9">
              <w:t xml:space="preserve"> et HSH</w:t>
            </w:r>
            <w:r w:rsidRPr="00750CA9">
              <w:t xml:space="preserve"> a démarré dans 28 sites de prise en charge. Pour les UD, le paquet de services n’est pas complet et parmi les </w:t>
            </w:r>
            <w:proofErr w:type="spellStart"/>
            <w:r w:rsidRPr="00750CA9">
              <w:t>KPs</w:t>
            </w:r>
            <w:proofErr w:type="spellEnd"/>
            <w:r w:rsidRPr="00750CA9">
              <w:t>, certains sous-groupes demeurent d’accès difficile</w:t>
            </w:r>
            <w:r w:rsidR="000525BF">
              <w:t xml:space="preserve"> (notamment les </w:t>
            </w:r>
            <w:r w:rsidR="000525BF">
              <w:rPr>
                <w:lang w:eastAsia="zh-CN"/>
              </w:rPr>
              <w:t>clients des TS, les transgenres, les HSH &gt; 35 ans et bisexuels)</w:t>
            </w:r>
            <w:r w:rsidRPr="00D53A20">
              <w:t>.</w:t>
            </w:r>
            <w:r w:rsidRPr="00750CA9">
              <w:t xml:space="preserve"> Ce qui ne permet pas de leur offrir les paquets de services disponibles. </w:t>
            </w:r>
          </w:p>
          <w:p w14:paraId="5AF8E6D0" w14:textId="62568E80" w:rsidR="004C30D8" w:rsidRDefault="00CD235A" w:rsidP="000525BF">
            <w:pPr>
              <w:pStyle w:val="liste1"/>
              <w:numPr>
                <w:ilvl w:val="1"/>
                <w:numId w:val="36"/>
              </w:numPr>
            </w:pPr>
            <w:proofErr w:type="spellStart"/>
            <w:r w:rsidRPr="00750CA9">
              <w:rPr>
                <w:lang w:val="en-US"/>
              </w:rPr>
              <w:t>En</w:t>
            </w:r>
            <w:proofErr w:type="spellEnd"/>
            <w:r w:rsidRPr="00750CA9">
              <w:rPr>
                <w:lang w:val="en-US"/>
              </w:rPr>
              <w:t xml:space="preserve"> matière de </w:t>
            </w:r>
            <w:proofErr w:type="spellStart"/>
            <w:r w:rsidRPr="00750CA9">
              <w:rPr>
                <w:lang w:val="en-US"/>
              </w:rPr>
              <w:t>dépistage</w:t>
            </w:r>
            <w:proofErr w:type="spellEnd"/>
            <w:r w:rsidRPr="00750CA9">
              <w:rPr>
                <w:lang w:val="en-US"/>
              </w:rPr>
              <w:t xml:space="preserve">, les efforts </w:t>
            </w:r>
            <w:proofErr w:type="spellStart"/>
            <w:r w:rsidRPr="00750CA9">
              <w:rPr>
                <w:lang w:val="en-US"/>
              </w:rPr>
              <w:t>ont</w:t>
            </w:r>
            <w:proofErr w:type="spellEnd"/>
            <w:r w:rsidRPr="00750CA9">
              <w:rPr>
                <w:lang w:val="en-US"/>
              </w:rPr>
              <w:t xml:space="preserve"> </w:t>
            </w:r>
            <w:proofErr w:type="spellStart"/>
            <w:r w:rsidRPr="00750CA9">
              <w:rPr>
                <w:lang w:val="en-US"/>
              </w:rPr>
              <w:t>permis</w:t>
            </w:r>
            <w:proofErr w:type="spellEnd"/>
            <w:r w:rsidRPr="00750CA9">
              <w:rPr>
                <w:lang w:val="en-US"/>
              </w:rPr>
              <w:t xml:space="preserve"> de </w:t>
            </w:r>
            <w:proofErr w:type="spellStart"/>
            <w:r w:rsidRPr="00750CA9">
              <w:rPr>
                <w:lang w:val="en-US"/>
              </w:rPr>
              <w:t>conseiller</w:t>
            </w:r>
            <w:proofErr w:type="spellEnd"/>
            <w:r w:rsidRPr="00750CA9">
              <w:rPr>
                <w:lang w:val="en-US"/>
              </w:rPr>
              <w:t xml:space="preserve"> et </w:t>
            </w:r>
            <w:proofErr w:type="spellStart"/>
            <w:r w:rsidRPr="00750CA9">
              <w:rPr>
                <w:lang w:val="en-US"/>
              </w:rPr>
              <w:t>dépister</w:t>
            </w:r>
            <w:proofErr w:type="spellEnd"/>
            <w:r w:rsidRPr="00750CA9">
              <w:rPr>
                <w:lang w:val="en-US"/>
              </w:rPr>
              <w:t xml:space="preserve"> 2 799 978 </w:t>
            </w:r>
            <w:proofErr w:type="spellStart"/>
            <w:r w:rsidRPr="00750CA9">
              <w:rPr>
                <w:lang w:val="en-US"/>
              </w:rPr>
              <w:t>personnes</w:t>
            </w:r>
            <w:proofErr w:type="spellEnd"/>
            <w:r w:rsidRPr="00750CA9">
              <w:rPr>
                <w:lang w:val="en-US"/>
              </w:rPr>
              <w:t xml:space="preserve"> </w:t>
            </w:r>
            <w:proofErr w:type="spellStart"/>
            <w:r w:rsidRPr="00750CA9">
              <w:rPr>
                <w:lang w:val="en-US"/>
              </w:rPr>
              <w:t>en</w:t>
            </w:r>
            <w:proofErr w:type="spellEnd"/>
            <w:r w:rsidRPr="00750CA9">
              <w:rPr>
                <w:lang w:val="en-US"/>
              </w:rPr>
              <w:t xml:space="preserve"> 2019, y </w:t>
            </w:r>
            <w:proofErr w:type="spellStart"/>
            <w:r w:rsidRPr="00750CA9">
              <w:rPr>
                <w:lang w:val="en-US"/>
              </w:rPr>
              <w:t>compris</w:t>
            </w:r>
            <w:proofErr w:type="spellEnd"/>
            <w:r w:rsidRPr="00750CA9">
              <w:rPr>
                <w:lang w:val="en-US"/>
              </w:rPr>
              <w:t xml:space="preserve"> les femmes enceintes, </w:t>
            </w:r>
            <w:proofErr w:type="spellStart"/>
            <w:r w:rsidRPr="00750CA9">
              <w:rPr>
                <w:lang w:val="en-US"/>
              </w:rPr>
              <w:t>d’optimiser</w:t>
            </w:r>
            <w:proofErr w:type="spellEnd"/>
            <w:r w:rsidRPr="00750CA9">
              <w:rPr>
                <w:lang w:val="en-US"/>
              </w:rPr>
              <w:t xml:space="preserve"> les </w:t>
            </w:r>
            <w:proofErr w:type="spellStart"/>
            <w:r w:rsidRPr="00750CA9">
              <w:rPr>
                <w:lang w:val="en-US"/>
              </w:rPr>
              <w:t>approches</w:t>
            </w:r>
            <w:proofErr w:type="spellEnd"/>
            <w:r w:rsidRPr="00750CA9">
              <w:rPr>
                <w:lang w:val="en-US"/>
              </w:rPr>
              <w:t xml:space="preserve"> du CDIP et </w:t>
            </w:r>
            <w:proofErr w:type="spellStart"/>
            <w:r w:rsidRPr="00750CA9">
              <w:rPr>
                <w:lang w:val="en-US"/>
              </w:rPr>
              <w:t>d’index</w:t>
            </w:r>
            <w:proofErr w:type="spellEnd"/>
            <w:r w:rsidRPr="00750CA9">
              <w:rPr>
                <w:lang w:val="en-US"/>
              </w:rPr>
              <w:t xml:space="preserve"> testing </w:t>
            </w:r>
            <w:proofErr w:type="spellStart"/>
            <w:r w:rsidRPr="00750CA9">
              <w:rPr>
                <w:lang w:val="en-US"/>
              </w:rPr>
              <w:t>faisant</w:t>
            </w:r>
            <w:proofErr w:type="spellEnd"/>
            <w:r w:rsidRPr="00750CA9">
              <w:rPr>
                <w:lang w:val="en-US"/>
              </w:rPr>
              <w:t xml:space="preserve"> passer le 1</w:t>
            </w:r>
            <w:r w:rsidRPr="00750CA9">
              <w:rPr>
                <w:vertAlign w:val="superscript"/>
                <w:lang w:val="en-US"/>
              </w:rPr>
              <w:t>er</w:t>
            </w:r>
            <w:r w:rsidRPr="00750CA9">
              <w:rPr>
                <w:lang w:val="en-US"/>
              </w:rPr>
              <w:t xml:space="preserve"> 90 à 79% </w:t>
            </w:r>
            <w:proofErr w:type="spellStart"/>
            <w:r w:rsidRPr="00750CA9">
              <w:rPr>
                <w:lang w:val="en-US"/>
              </w:rPr>
              <w:t>en</w:t>
            </w:r>
            <w:proofErr w:type="spellEnd"/>
            <w:r w:rsidRPr="00750CA9">
              <w:rPr>
                <w:lang w:val="en-US"/>
              </w:rPr>
              <w:t xml:space="preserve"> fin 2019. La </w:t>
            </w:r>
            <w:proofErr w:type="spellStart"/>
            <w:r w:rsidRPr="00750CA9">
              <w:rPr>
                <w:lang w:val="en-US"/>
              </w:rPr>
              <w:t>stratégie</w:t>
            </w:r>
            <w:proofErr w:type="spellEnd"/>
            <w:r w:rsidRPr="00750CA9">
              <w:rPr>
                <w:lang w:val="en-US"/>
              </w:rPr>
              <w:t xml:space="preserve"> de </w:t>
            </w:r>
            <w:proofErr w:type="spellStart"/>
            <w:r w:rsidRPr="00750CA9">
              <w:rPr>
                <w:lang w:val="en-US"/>
              </w:rPr>
              <w:t>développement</w:t>
            </w:r>
            <w:proofErr w:type="spellEnd"/>
            <w:r w:rsidRPr="00750CA9">
              <w:rPr>
                <w:lang w:val="en-US"/>
              </w:rPr>
              <w:t xml:space="preserve"> de </w:t>
            </w:r>
            <w:r w:rsidRPr="00D53A20">
              <w:t>l’autotest</w:t>
            </w:r>
            <w:r w:rsidRPr="00750CA9">
              <w:rPr>
                <w:lang w:val="en-US"/>
              </w:rPr>
              <w:t xml:space="preserve"> a </w:t>
            </w:r>
            <w:proofErr w:type="spellStart"/>
            <w:r w:rsidRPr="00750CA9">
              <w:rPr>
                <w:lang w:val="en-US"/>
              </w:rPr>
              <w:t>démarré</w:t>
            </w:r>
            <w:proofErr w:type="spellEnd"/>
            <w:r w:rsidRPr="00750CA9">
              <w:rPr>
                <w:lang w:val="en-US"/>
              </w:rPr>
              <w:t xml:space="preserve"> </w:t>
            </w:r>
            <w:proofErr w:type="spellStart"/>
            <w:r w:rsidRPr="00750CA9">
              <w:rPr>
                <w:lang w:val="en-US"/>
              </w:rPr>
              <w:t>en</w:t>
            </w:r>
            <w:proofErr w:type="spellEnd"/>
            <w:r w:rsidRPr="00750CA9">
              <w:rPr>
                <w:lang w:val="en-US"/>
              </w:rPr>
              <w:t xml:space="preserve"> 2019.</w:t>
            </w:r>
            <w:r w:rsidR="00E37834" w:rsidRPr="00750CA9">
              <w:rPr>
                <w:lang w:val="en-US"/>
              </w:rPr>
              <w:t xml:space="preserve"> </w:t>
            </w:r>
            <w:proofErr w:type="spellStart"/>
            <w:r w:rsidR="00E37834" w:rsidRPr="00750CA9">
              <w:rPr>
                <w:lang w:val="en-US"/>
              </w:rPr>
              <w:t>Mais</w:t>
            </w:r>
            <w:proofErr w:type="spellEnd"/>
            <w:r w:rsidR="00E37834" w:rsidRPr="00750CA9">
              <w:rPr>
                <w:lang w:val="en-US"/>
              </w:rPr>
              <w:t xml:space="preserve"> le </w:t>
            </w:r>
            <w:proofErr w:type="spellStart"/>
            <w:r w:rsidR="00E37834" w:rsidRPr="00750CA9">
              <w:rPr>
                <w:lang w:val="en-US"/>
              </w:rPr>
              <w:t>dépistage</w:t>
            </w:r>
            <w:proofErr w:type="spellEnd"/>
            <w:r w:rsidR="00E37834" w:rsidRPr="00750CA9">
              <w:rPr>
                <w:lang w:val="en-US"/>
              </w:rPr>
              <w:t xml:space="preserve"> </w:t>
            </w:r>
            <w:proofErr w:type="spellStart"/>
            <w:r w:rsidR="00E37834" w:rsidRPr="00750CA9">
              <w:rPr>
                <w:lang w:val="en-US"/>
              </w:rPr>
              <w:t>n’est</w:t>
            </w:r>
            <w:proofErr w:type="spellEnd"/>
            <w:r w:rsidR="00E37834" w:rsidRPr="00750CA9">
              <w:rPr>
                <w:lang w:val="en-US"/>
              </w:rPr>
              <w:t xml:space="preserve"> pas </w:t>
            </w:r>
            <w:r w:rsidR="00E37834" w:rsidRPr="00D53A20">
              <w:t>suffis</w:t>
            </w:r>
            <w:r w:rsidR="000B04E3">
              <w:t>a</w:t>
            </w:r>
            <w:r w:rsidR="00E37834" w:rsidRPr="00D53A20">
              <w:t>mment</w:t>
            </w:r>
            <w:r w:rsidR="00E37834" w:rsidRPr="00750CA9">
              <w:rPr>
                <w:lang w:val="en-US"/>
              </w:rPr>
              <w:t xml:space="preserve"> </w:t>
            </w:r>
            <w:proofErr w:type="spellStart"/>
            <w:r w:rsidR="00E37834" w:rsidRPr="00750CA9">
              <w:rPr>
                <w:lang w:val="en-US"/>
              </w:rPr>
              <w:t>déployé</w:t>
            </w:r>
            <w:proofErr w:type="spellEnd"/>
            <w:r w:rsidR="00E37834" w:rsidRPr="00750CA9">
              <w:rPr>
                <w:lang w:val="en-US"/>
              </w:rPr>
              <w:t xml:space="preserve"> et </w:t>
            </w:r>
            <w:proofErr w:type="spellStart"/>
            <w:r w:rsidR="00E37834" w:rsidRPr="00750CA9">
              <w:rPr>
                <w:lang w:val="en-US"/>
              </w:rPr>
              <w:t>efficace</w:t>
            </w:r>
            <w:proofErr w:type="spellEnd"/>
            <w:r w:rsidR="00E37834" w:rsidRPr="00750CA9">
              <w:rPr>
                <w:lang w:val="en-US"/>
              </w:rPr>
              <w:t xml:space="preserve"> </w:t>
            </w:r>
            <w:proofErr w:type="spellStart"/>
            <w:r w:rsidR="00E37834" w:rsidRPr="00750CA9">
              <w:rPr>
                <w:lang w:val="en-US"/>
              </w:rPr>
              <w:t>en</w:t>
            </w:r>
            <w:proofErr w:type="spellEnd"/>
            <w:r w:rsidR="00E37834" w:rsidRPr="00750CA9">
              <w:rPr>
                <w:lang w:val="en-US"/>
              </w:rPr>
              <w:t xml:space="preserve"> </w:t>
            </w:r>
            <w:proofErr w:type="spellStart"/>
            <w:r w:rsidR="00E37834" w:rsidRPr="00750CA9">
              <w:rPr>
                <w:lang w:val="en-US"/>
              </w:rPr>
              <w:t>ce</w:t>
            </w:r>
            <w:proofErr w:type="spellEnd"/>
            <w:r w:rsidR="00E37834" w:rsidRPr="00750CA9">
              <w:rPr>
                <w:lang w:val="en-US"/>
              </w:rPr>
              <w:t xml:space="preserve"> qui </w:t>
            </w:r>
            <w:proofErr w:type="spellStart"/>
            <w:r w:rsidR="00E37834" w:rsidRPr="00750CA9">
              <w:rPr>
                <w:lang w:val="en-US"/>
              </w:rPr>
              <w:t>concerne</w:t>
            </w:r>
            <w:proofErr w:type="spellEnd"/>
            <w:r w:rsidR="00E37834" w:rsidRPr="00750CA9">
              <w:rPr>
                <w:lang w:val="en-US"/>
              </w:rPr>
              <w:t xml:space="preserve"> les enfants, les hommes ≥ 25 </w:t>
            </w:r>
            <w:proofErr w:type="spellStart"/>
            <w:r w:rsidR="00E37834" w:rsidRPr="00750CA9">
              <w:rPr>
                <w:lang w:val="en-US"/>
              </w:rPr>
              <w:t>ans</w:t>
            </w:r>
            <w:proofErr w:type="spellEnd"/>
            <w:r w:rsidR="00E37834" w:rsidRPr="00750CA9">
              <w:rPr>
                <w:lang w:val="en-US"/>
              </w:rPr>
              <w:t xml:space="preserve">, les KPs et </w:t>
            </w:r>
            <w:proofErr w:type="spellStart"/>
            <w:r w:rsidR="00E37834" w:rsidRPr="00750CA9">
              <w:rPr>
                <w:lang w:val="en-US"/>
              </w:rPr>
              <w:t>leurs</w:t>
            </w:r>
            <w:proofErr w:type="spellEnd"/>
            <w:r w:rsidR="00E37834" w:rsidRPr="00750CA9">
              <w:rPr>
                <w:lang w:val="en-US"/>
              </w:rPr>
              <w:t xml:space="preserve"> </w:t>
            </w:r>
            <w:proofErr w:type="spellStart"/>
            <w:r w:rsidR="00E37834" w:rsidRPr="00750CA9">
              <w:rPr>
                <w:lang w:val="en-US"/>
              </w:rPr>
              <w:t>partenaires</w:t>
            </w:r>
            <w:proofErr w:type="spellEnd"/>
            <w:r w:rsidR="00E37834" w:rsidRPr="00750CA9">
              <w:rPr>
                <w:lang w:val="en-US"/>
              </w:rPr>
              <w:t>.</w:t>
            </w:r>
            <w:r w:rsidR="004C30D8">
              <w:t xml:space="preserve"> </w:t>
            </w:r>
            <w:r w:rsidR="00E37834" w:rsidRPr="00750CA9">
              <w:t>Chez les adolescents, jeunes et adultes, l</w:t>
            </w:r>
            <w:r w:rsidRPr="00750CA9">
              <w:t xml:space="preserve">a crainte du VIH </w:t>
            </w:r>
            <w:r w:rsidR="00E37834" w:rsidRPr="00750CA9">
              <w:t xml:space="preserve">et la peur de la stigmatisation qui l’accompagne </w:t>
            </w:r>
            <w:r w:rsidRPr="00750CA9">
              <w:t>reste</w:t>
            </w:r>
            <w:r w:rsidR="00E37834" w:rsidRPr="00750CA9">
              <w:t>nt</w:t>
            </w:r>
            <w:r w:rsidRPr="00750CA9">
              <w:t xml:space="preserve"> </w:t>
            </w:r>
            <w:r w:rsidR="00E37834" w:rsidRPr="00750CA9">
              <w:t xml:space="preserve">des </w:t>
            </w:r>
            <w:r w:rsidRPr="00750CA9">
              <w:t>obstacle</w:t>
            </w:r>
            <w:r w:rsidR="00E37834" w:rsidRPr="00750CA9">
              <w:t>s</w:t>
            </w:r>
            <w:r w:rsidRPr="00750CA9">
              <w:t xml:space="preserve"> majeur</w:t>
            </w:r>
            <w:r w:rsidR="00E37834" w:rsidRPr="00750CA9">
              <w:t>s</w:t>
            </w:r>
            <w:r w:rsidRPr="00750CA9">
              <w:t xml:space="preserve"> à l’acceptation du dépistage</w:t>
            </w:r>
            <w:r w:rsidR="00E37834" w:rsidRPr="00750CA9">
              <w:t>. Chez les enfants, le dépistage à toutes les portes d’entrée pédiatrique n’est pas systématique</w:t>
            </w:r>
            <w:r w:rsidR="00E37834" w:rsidRPr="00D53A20">
              <w:t xml:space="preserve">. </w:t>
            </w:r>
          </w:p>
          <w:p w14:paraId="35C4133C" w14:textId="009E6FDC" w:rsidR="00CD235A" w:rsidRPr="00750CA9" w:rsidRDefault="00E37834" w:rsidP="00750CA9">
            <w:pPr>
              <w:pStyle w:val="liste1"/>
              <w:numPr>
                <w:ilvl w:val="1"/>
                <w:numId w:val="36"/>
              </w:numPr>
            </w:pPr>
            <w:r w:rsidRPr="00750CA9">
              <w:t>Pour l</w:t>
            </w:r>
            <w:r w:rsidR="00CD235A" w:rsidRPr="00750CA9">
              <w:t xml:space="preserve">a PTME, </w:t>
            </w:r>
            <w:r w:rsidR="004C30D8">
              <w:t xml:space="preserve">malgré une couverture de 97% en dépistage des femmes enceintes, </w:t>
            </w:r>
            <w:r w:rsidR="006703FF">
              <w:t xml:space="preserve">la TME reste élevée (10,2% estimé en 2019) du fait d’une couverture en ARV </w:t>
            </w:r>
            <w:r w:rsidR="001B2C2F">
              <w:t xml:space="preserve">des FEVVIH insuffisante (79%) </w:t>
            </w:r>
            <w:r w:rsidR="006703FF">
              <w:t xml:space="preserve">et d’une rétention </w:t>
            </w:r>
            <w:r w:rsidR="001B2C2F">
              <w:t xml:space="preserve">dans </w:t>
            </w:r>
            <w:r w:rsidR="001B2C2F" w:rsidRPr="00750CA9">
              <w:t xml:space="preserve">les </w:t>
            </w:r>
            <w:r w:rsidR="001B2C2F">
              <w:t xml:space="preserve">soins à 18 mois des </w:t>
            </w:r>
            <w:r w:rsidR="006703FF">
              <w:t>couples mère-enfants</w:t>
            </w:r>
            <w:r w:rsidR="001B2C2F">
              <w:t xml:space="preserve"> encore trop faible</w:t>
            </w:r>
            <w:r w:rsidR="006703FF">
              <w:t>.</w:t>
            </w:r>
            <w:r w:rsidR="001B2C2F">
              <w:t xml:space="preserve"> L</w:t>
            </w:r>
            <w:r w:rsidRPr="00D53A20">
              <w:t xml:space="preserve">es </w:t>
            </w:r>
            <w:r w:rsidRPr="00750CA9">
              <w:t xml:space="preserve">inégalités de genre </w:t>
            </w:r>
            <w:r w:rsidR="000E1C6E" w:rsidRPr="00750CA9">
              <w:t xml:space="preserve">ont pour </w:t>
            </w:r>
            <w:r w:rsidR="000E1C6E" w:rsidRPr="00D53A20">
              <w:t>cons</w:t>
            </w:r>
            <w:r w:rsidR="004C30D8">
              <w:t>é</w:t>
            </w:r>
            <w:r w:rsidR="000E1C6E" w:rsidRPr="00D53A20">
              <w:t>quence</w:t>
            </w:r>
            <w:r w:rsidR="000E1C6E" w:rsidRPr="00750CA9">
              <w:t xml:space="preserve"> </w:t>
            </w:r>
            <w:r w:rsidRPr="00750CA9">
              <w:t xml:space="preserve">un recours encore non systématique au dépistage en CPN, notamment au cours du </w:t>
            </w:r>
            <w:r w:rsidR="004C30D8">
              <w:t>1</w:t>
            </w:r>
            <w:r w:rsidR="004C30D8" w:rsidRPr="000525BF">
              <w:rPr>
                <w:vertAlign w:val="superscript"/>
              </w:rPr>
              <w:t>er</w:t>
            </w:r>
            <w:r w:rsidR="004C30D8" w:rsidRPr="00750CA9">
              <w:t xml:space="preserve"> </w:t>
            </w:r>
            <w:r w:rsidRPr="00750CA9">
              <w:t>trimestre de grossesse.</w:t>
            </w:r>
            <w:r w:rsidR="004C30D8" w:rsidRPr="00D53A20">
              <w:t xml:space="preserve"> </w:t>
            </w:r>
            <w:r w:rsidR="004C30D8">
              <w:t>L</w:t>
            </w:r>
            <w:r w:rsidR="004C30D8" w:rsidRPr="00D53A20">
              <w:t>e dépistage précoce des enfants exposé est encore faible</w:t>
            </w:r>
            <w:r w:rsidR="005B09EA">
              <w:t xml:space="preserve"> </w:t>
            </w:r>
            <w:r w:rsidR="0002374C" w:rsidRPr="00084F75">
              <w:rPr>
                <w:i/>
                <w:iCs/>
              </w:rPr>
              <w:t>(Annexe 1)</w:t>
            </w:r>
            <w:r w:rsidR="004C30D8">
              <w:t>.</w:t>
            </w:r>
          </w:p>
          <w:p w14:paraId="13014B59" w14:textId="6AD99935" w:rsidR="005B09EA" w:rsidRDefault="000E1C6E" w:rsidP="005B09EA">
            <w:pPr>
              <w:pStyle w:val="liste1"/>
              <w:rPr>
                <w:lang w:eastAsia="fr-FR"/>
              </w:rPr>
            </w:pPr>
            <w:r w:rsidRPr="00750CA9">
              <w:t>En matière de</w:t>
            </w:r>
            <w:r w:rsidR="00CD235A" w:rsidRPr="00750CA9">
              <w:t xml:space="preserve"> prise en charge, l’augmentation de la couverture </w:t>
            </w:r>
            <w:r w:rsidRPr="00750CA9">
              <w:t xml:space="preserve">globale en </w:t>
            </w:r>
            <w:r w:rsidR="00CD235A" w:rsidRPr="00750CA9">
              <w:t xml:space="preserve">ARV </w:t>
            </w:r>
            <w:r w:rsidRPr="00750CA9">
              <w:t xml:space="preserve">est parvenue à </w:t>
            </w:r>
            <w:r w:rsidRPr="00750CA9">
              <w:rPr>
                <w:b/>
              </w:rPr>
              <w:t>63%</w:t>
            </w:r>
            <w:r w:rsidR="005B09EA" w:rsidRPr="00750CA9">
              <w:t xml:space="preserve"> </w:t>
            </w:r>
            <w:r w:rsidR="005B09EA">
              <w:rPr>
                <w:lang w:eastAsia="fr-FR"/>
              </w:rPr>
              <w:t>(2</w:t>
            </w:r>
            <w:r w:rsidR="005B09EA" w:rsidRPr="000525BF">
              <w:rPr>
                <w:vertAlign w:val="superscript"/>
                <w:lang w:eastAsia="fr-FR"/>
              </w:rPr>
              <w:t>ème</w:t>
            </w:r>
            <w:r w:rsidR="005B09EA">
              <w:rPr>
                <w:lang w:eastAsia="fr-FR"/>
              </w:rPr>
              <w:t xml:space="preserve"> 90)</w:t>
            </w:r>
            <w:r w:rsidRPr="00750CA9">
              <w:t xml:space="preserve"> en </w:t>
            </w:r>
            <w:r w:rsidR="00CD235A" w:rsidRPr="00750CA9">
              <w:t>fin 2019</w:t>
            </w:r>
            <w:r w:rsidR="005B09EA">
              <w:rPr>
                <w:lang w:eastAsia="fr-FR"/>
              </w:rPr>
              <w:t> :</w:t>
            </w:r>
            <w:r w:rsidRPr="00D53A20">
              <w:rPr>
                <w:lang w:eastAsia="fr-FR"/>
              </w:rPr>
              <w:t xml:space="preserve"> </w:t>
            </w:r>
          </w:p>
          <w:p w14:paraId="74D4C99A" w14:textId="38D7668A" w:rsidR="005B09EA" w:rsidRPr="00750CA9" w:rsidRDefault="000E1C6E" w:rsidP="005B09EA">
            <w:pPr>
              <w:pStyle w:val="liste1"/>
              <w:numPr>
                <w:ilvl w:val="1"/>
                <w:numId w:val="36"/>
              </w:numPr>
              <w:rPr>
                <w:lang w:eastAsia="fr-FR"/>
              </w:rPr>
            </w:pPr>
            <w:r w:rsidRPr="00750CA9">
              <w:t xml:space="preserve">Mais elle ne dépasse pas </w:t>
            </w:r>
            <w:r w:rsidRPr="00750CA9">
              <w:rPr>
                <w:b/>
              </w:rPr>
              <w:t>36%</w:t>
            </w:r>
            <w:r w:rsidRPr="00750CA9">
              <w:t xml:space="preserve"> chez les moins de 15 ans</w:t>
            </w:r>
            <w:r w:rsidR="005B09EA">
              <w:rPr>
                <w:lang w:eastAsia="fr-FR"/>
              </w:rPr>
              <w:t> </w:t>
            </w:r>
            <w:r w:rsidR="005B09EA" w:rsidRPr="00750CA9">
              <w:rPr>
                <w:lang w:eastAsia="fr-FR"/>
              </w:rPr>
              <w:t xml:space="preserve">; </w:t>
            </w:r>
            <w:bookmarkStart w:id="10" w:name="_Hlk41466522"/>
            <w:r w:rsidR="005B09EA" w:rsidRPr="00750CA9">
              <w:rPr>
                <w:lang w:eastAsia="fr-FR"/>
              </w:rPr>
              <w:t>47</w:t>
            </w:r>
            <w:r w:rsidR="005C293E" w:rsidRPr="00750CA9">
              <w:rPr>
                <w:lang w:eastAsia="fr-FR"/>
              </w:rPr>
              <w:t>,6</w:t>
            </w:r>
            <w:r w:rsidR="005B09EA" w:rsidRPr="00750CA9">
              <w:rPr>
                <w:lang w:eastAsia="fr-FR"/>
              </w:rPr>
              <w:t xml:space="preserve">% </w:t>
            </w:r>
            <w:r w:rsidR="005C293E" w:rsidRPr="00750CA9">
              <w:rPr>
                <w:lang w:eastAsia="fr-FR"/>
              </w:rPr>
              <w:t>chez les jeunes hommes 15-24 ans</w:t>
            </w:r>
            <w:r w:rsidR="005C293E" w:rsidRPr="00750CA9">
              <w:t xml:space="preserve"> et </w:t>
            </w:r>
            <w:r w:rsidR="005C293E" w:rsidRPr="00750CA9">
              <w:rPr>
                <w:lang w:eastAsia="fr-FR"/>
              </w:rPr>
              <w:t>54,6% chez les jeunes filles 15-24 ans</w:t>
            </w:r>
            <w:bookmarkEnd w:id="10"/>
            <w:r w:rsidR="005C293E" w:rsidRPr="00750CA9">
              <w:rPr>
                <w:lang w:eastAsia="fr-FR"/>
              </w:rPr>
              <w:t xml:space="preserve"> ; </w:t>
            </w:r>
          </w:p>
          <w:p w14:paraId="6103CF3D" w14:textId="16275960" w:rsidR="005B09EA" w:rsidRDefault="005B09EA" w:rsidP="000525BF">
            <w:pPr>
              <w:pStyle w:val="liste1"/>
              <w:numPr>
                <w:ilvl w:val="1"/>
                <w:numId w:val="36"/>
              </w:numPr>
              <w:rPr>
                <w:lang w:eastAsia="fr-FR"/>
              </w:rPr>
            </w:pPr>
            <w:r>
              <w:rPr>
                <w:lang w:eastAsia="fr-FR"/>
              </w:rPr>
              <w:t>L</w:t>
            </w:r>
            <w:r w:rsidR="000E1C6E" w:rsidRPr="00D53A20">
              <w:rPr>
                <w:lang w:eastAsia="fr-FR"/>
              </w:rPr>
              <w:t>a</w:t>
            </w:r>
            <w:r w:rsidR="000E1C6E" w:rsidRPr="00750CA9">
              <w:t xml:space="preserve"> rétention dans les soins était estimée à </w:t>
            </w:r>
            <w:r w:rsidR="000E1C6E" w:rsidRPr="00750CA9">
              <w:rPr>
                <w:b/>
              </w:rPr>
              <w:t>84%</w:t>
            </w:r>
            <w:r w:rsidR="000E1C6E" w:rsidRPr="00750CA9">
              <w:t xml:space="preserve"> en 2019</w:t>
            </w:r>
            <w:r>
              <w:rPr>
                <w:lang w:eastAsia="fr-FR"/>
              </w:rPr>
              <w:t> ;</w:t>
            </w:r>
          </w:p>
          <w:p w14:paraId="742DD9F1" w14:textId="110FF579" w:rsidR="000E1C6E" w:rsidRPr="00750CA9" w:rsidRDefault="000E1C6E" w:rsidP="00750CA9">
            <w:pPr>
              <w:pStyle w:val="liste1"/>
              <w:numPr>
                <w:ilvl w:val="1"/>
                <w:numId w:val="36"/>
              </w:numPr>
            </w:pPr>
            <w:r w:rsidRPr="00750CA9">
              <w:lastRenderedPageBreak/>
              <w:t>L</w:t>
            </w:r>
            <w:r w:rsidR="00CD235A" w:rsidRPr="00750CA9">
              <w:t>e 3</w:t>
            </w:r>
            <w:r w:rsidR="00CD235A" w:rsidRPr="00750CA9">
              <w:rPr>
                <w:vertAlign w:val="superscript"/>
              </w:rPr>
              <w:t>ème</w:t>
            </w:r>
            <w:r w:rsidR="004C30D8" w:rsidRPr="00750CA9">
              <w:t xml:space="preserve"> </w:t>
            </w:r>
            <w:r w:rsidR="00CD235A" w:rsidRPr="00750CA9">
              <w:t xml:space="preserve">90 </w:t>
            </w:r>
            <w:r w:rsidR="005C293E" w:rsidRPr="00750CA9">
              <w:t xml:space="preserve">estimé </w:t>
            </w:r>
            <w:r w:rsidR="005C293E">
              <w:rPr>
                <w:lang w:eastAsia="fr-FR"/>
              </w:rPr>
              <w:t>à</w:t>
            </w:r>
            <w:r w:rsidR="005C293E" w:rsidRPr="00D53A20">
              <w:rPr>
                <w:lang w:eastAsia="fr-FR"/>
              </w:rPr>
              <w:t xml:space="preserve"> </w:t>
            </w:r>
            <w:r w:rsidR="005B09EA" w:rsidRPr="000525BF">
              <w:rPr>
                <w:b/>
                <w:bCs/>
                <w:lang w:eastAsia="fr-FR"/>
              </w:rPr>
              <w:t>45</w:t>
            </w:r>
            <w:r w:rsidR="00CD235A" w:rsidRPr="000525BF">
              <w:rPr>
                <w:b/>
                <w:bCs/>
                <w:lang w:eastAsia="fr-FR"/>
              </w:rPr>
              <w:t>%</w:t>
            </w:r>
            <w:r w:rsidR="00CD235A" w:rsidRPr="00D53A20">
              <w:rPr>
                <w:lang w:eastAsia="fr-FR"/>
              </w:rPr>
              <w:t xml:space="preserve"> </w:t>
            </w:r>
            <w:r w:rsidR="005C293E" w:rsidRPr="00750CA9">
              <w:t xml:space="preserve">en fin 2019 </w:t>
            </w:r>
            <w:r w:rsidR="00CD235A" w:rsidRPr="00750CA9">
              <w:t>(77% parmi les bénéficiaires de CV). Les difficultés du déploiement de l’ETP associées aux insuffisances programmatiques de l’offre de la CV expliquent en partie ce constat</w:t>
            </w:r>
            <w:r w:rsidR="005C293E">
              <w:rPr>
                <w:lang w:eastAsia="fr-FR"/>
              </w:rPr>
              <w:t> ;</w:t>
            </w:r>
          </w:p>
          <w:p w14:paraId="1CD717AF" w14:textId="46CDD9E6" w:rsidR="00CD235A" w:rsidRPr="00750CA9" w:rsidRDefault="00CD235A" w:rsidP="00750CA9">
            <w:pPr>
              <w:pStyle w:val="liste1"/>
              <w:numPr>
                <w:ilvl w:val="1"/>
                <w:numId w:val="36"/>
              </w:numPr>
            </w:pPr>
            <w:r w:rsidRPr="00750CA9">
              <w:t xml:space="preserve">La mise en </w:t>
            </w:r>
            <w:proofErr w:type="spellStart"/>
            <w:r w:rsidRPr="00750CA9">
              <w:t>oeuvre</w:t>
            </w:r>
            <w:proofErr w:type="spellEnd"/>
            <w:r w:rsidRPr="00750CA9">
              <w:t xml:space="preserve"> du TPI a réellement commencé en 2019 (374 patients traités), et la phase d’extension a démarré avec un objectif de </w:t>
            </w:r>
            <w:r w:rsidRPr="00D53A20">
              <w:rPr>
                <w:lang w:eastAsia="fr-FR"/>
              </w:rPr>
              <w:t>2</w:t>
            </w:r>
            <w:r w:rsidR="009360FD">
              <w:rPr>
                <w:lang w:eastAsia="fr-FR"/>
              </w:rPr>
              <w:t>1</w:t>
            </w:r>
            <w:r w:rsidRPr="00D53A20">
              <w:rPr>
                <w:lang w:eastAsia="fr-FR"/>
              </w:rPr>
              <w:t>.</w:t>
            </w:r>
            <w:r w:rsidR="009360FD">
              <w:rPr>
                <w:lang w:eastAsia="fr-FR"/>
              </w:rPr>
              <w:t>800</w:t>
            </w:r>
            <w:r w:rsidRPr="00750CA9">
              <w:t xml:space="preserve"> patients</w:t>
            </w:r>
            <w:r w:rsidR="00AC5FC3" w:rsidRPr="00750CA9">
              <w:t xml:space="preserve"> en fin 2020</w:t>
            </w:r>
            <w:r w:rsidRPr="00750CA9">
              <w:t>, par la formation des prestataires des sites et un plan d’approvisionnement en INH par la NPSP</w:t>
            </w:r>
            <w:r w:rsidR="009360FD">
              <w:rPr>
                <w:lang w:eastAsia="fr-FR"/>
              </w:rPr>
              <w:t xml:space="preserve"> </w:t>
            </w:r>
            <w:r w:rsidR="0002374C" w:rsidRPr="00084F75">
              <w:rPr>
                <w:i/>
                <w:iCs/>
              </w:rPr>
              <w:t>(Annexe 1</w:t>
            </w:r>
            <w:r w:rsidR="0002374C">
              <w:rPr>
                <w:i/>
                <w:iCs/>
              </w:rPr>
              <w:t>6</w:t>
            </w:r>
            <w:r w:rsidR="0002374C" w:rsidRPr="00084F75">
              <w:rPr>
                <w:i/>
                <w:iCs/>
              </w:rPr>
              <w:t>)</w:t>
            </w:r>
            <w:r w:rsidRPr="00D53A20">
              <w:rPr>
                <w:lang w:eastAsia="fr-FR"/>
              </w:rPr>
              <w:t>.</w:t>
            </w:r>
          </w:p>
          <w:p w14:paraId="02B455B1" w14:textId="4EF9BBFA" w:rsidR="00CD235A" w:rsidRPr="00750CA9" w:rsidRDefault="00CD235A" w:rsidP="00390EA4">
            <w:pPr>
              <w:pStyle w:val="Texteformulaire"/>
              <w:rPr>
                <w:lang w:val="fr-FR"/>
              </w:rPr>
            </w:pPr>
            <w:r w:rsidRPr="00750CA9">
              <w:rPr>
                <w:lang w:val="fr-FR"/>
              </w:rPr>
              <w:t xml:space="preserve">En lien avec la gouvernance et le leadership, les équipes des structures déconcentrées du MSHP n’ont toujours pas les effectifs de même que la qualité requise des staffs pour assurer un accompagnement permanent et efficace des sites. </w:t>
            </w:r>
          </w:p>
          <w:p w14:paraId="48C0CDE9" w14:textId="7C1FCB4C" w:rsidR="0070262D" w:rsidRPr="00750CA9" w:rsidRDefault="0070262D" w:rsidP="00390EA4">
            <w:pPr>
              <w:pStyle w:val="Texteformulaire"/>
              <w:rPr>
                <w:b/>
                <w:lang w:val="fr-FR"/>
              </w:rPr>
            </w:pPr>
            <w:r w:rsidRPr="00750CA9">
              <w:rPr>
                <w:b/>
                <w:lang w:val="fr-FR"/>
              </w:rPr>
              <w:t>L</w:t>
            </w:r>
            <w:r w:rsidR="00CD235A" w:rsidRPr="00750CA9">
              <w:rPr>
                <w:b/>
                <w:lang w:val="fr-FR"/>
              </w:rPr>
              <w:t>es principales leçons apprises</w:t>
            </w:r>
            <w:r w:rsidRPr="00750CA9">
              <w:rPr>
                <w:b/>
                <w:lang w:val="fr-FR"/>
              </w:rPr>
              <w:t xml:space="preserve"> montrent qu’il convient de </w:t>
            </w:r>
            <w:r w:rsidR="00CD235A" w:rsidRPr="00750CA9">
              <w:rPr>
                <w:b/>
                <w:lang w:val="fr-FR"/>
              </w:rPr>
              <w:t xml:space="preserve">: </w:t>
            </w:r>
          </w:p>
          <w:p w14:paraId="7D31855F" w14:textId="71873A39" w:rsidR="0070262D" w:rsidRDefault="00CD235A" w:rsidP="0070262D">
            <w:pPr>
              <w:pStyle w:val="liste1"/>
            </w:pPr>
            <w:r>
              <w:t>Changer la perception du VIH dans la population à travers une différenciation des messages de sensibilisation et des canaux utilisés</w:t>
            </w:r>
            <w:r w:rsidR="0070262D">
              <w:t xml:space="preserve"> pour que le VIH devienne enfin une affection ordinaire</w:t>
            </w:r>
          </w:p>
          <w:p w14:paraId="5DE1601E" w14:textId="27CF68D4" w:rsidR="0070262D" w:rsidRDefault="0070262D" w:rsidP="00AC5FC3">
            <w:pPr>
              <w:pStyle w:val="liste1"/>
            </w:pPr>
            <w:r>
              <w:t xml:space="preserve">Lever les barrières en lien avec les droits humains, qui grèvent l’accès aux services des PVVIH et des </w:t>
            </w:r>
            <w:proofErr w:type="spellStart"/>
            <w:r>
              <w:t>KPs</w:t>
            </w:r>
            <w:proofErr w:type="spellEnd"/>
          </w:p>
          <w:p w14:paraId="7807D00D" w14:textId="64801CC0" w:rsidR="0070262D" w:rsidRDefault="00CD235A" w:rsidP="00AC5FC3">
            <w:pPr>
              <w:pStyle w:val="liste1"/>
            </w:pPr>
            <w:r>
              <w:t>Repositionner la promotion du préservatif avec la mise en œuvre effective de l’approche de marché total</w:t>
            </w:r>
          </w:p>
          <w:p w14:paraId="5BB51EFA" w14:textId="19888770" w:rsidR="0070262D" w:rsidRDefault="00CD235A" w:rsidP="00AC5FC3">
            <w:pPr>
              <w:pStyle w:val="liste1"/>
            </w:pPr>
            <w:r>
              <w:t xml:space="preserve">Renforcer l’intégration de la PEC des populations clés dans les structures publiques et le lien </w:t>
            </w:r>
            <w:r w:rsidR="0070262D">
              <w:t xml:space="preserve">avec </w:t>
            </w:r>
            <w:r>
              <w:t xml:space="preserve">les structures </w:t>
            </w:r>
            <w:r w:rsidR="00A63E6B">
              <w:t>communautaires pour</w:t>
            </w:r>
            <w:r w:rsidR="00A63E6B" w:rsidRPr="00A63E6B">
              <w:t xml:space="preserve"> le renforcement </w:t>
            </w:r>
            <w:r w:rsidR="00A63E6B">
              <w:t>de</w:t>
            </w:r>
            <w:r w:rsidR="00A63E6B" w:rsidRPr="00A63E6B">
              <w:t xml:space="preserve"> leur rôle dans la prestation de services</w:t>
            </w:r>
          </w:p>
          <w:p w14:paraId="1042D093" w14:textId="4828532D" w:rsidR="0070262D" w:rsidRDefault="00CD235A" w:rsidP="00AC5FC3">
            <w:pPr>
              <w:pStyle w:val="liste1"/>
            </w:pPr>
            <w:r>
              <w:t xml:space="preserve">Intensifier l’offre de service de dépistage VIH à travers des approches différenciées et </w:t>
            </w:r>
            <w:r w:rsidR="0070262D">
              <w:t>l</w:t>
            </w:r>
            <w:r>
              <w:t xml:space="preserve">e ciblage </w:t>
            </w:r>
            <w:r w:rsidR="0070262D">
              <w:t xml:space="preserve">des populations clés et vulnérables, </w:t>
            </w:r>
            <w:r>
              <w:t>dans les structures publiques et privées</w:t>
            </w:r>
          </w:p>
          <w:p w14:paraId="5E3CEAF4" w14:textId="341421B7" w:rsidR="0070262D" w:rsidRDefault="00CD235A" w:rsidP="00AC5FC3">
            <w:pPr>
              <w:pStyle w:val="liste1"/>
            </w:pPr>
            <w:r>
              <w:t>Renforcer l’offre de service de PTME</w:t>
            </w:r>
            <w:r w:rsidR="0070262D">
              <w:t>,</w:t>
            </w:r>
            <w:r>
              <w:t xml:space="preserve"> y compris dans les cliniques privées</w:t>
            </w:r>
            <w:r w:rsidR="0070262D">
              <w:t>, et agir sur les inégalités de genre pour améliorer l’utilisation des services par les femmes enceintes</w:t>
            </w:r>
          </w:p>
          <w:p w14:paraId="5EBAB879" w14:textId="20FBA3CE" w:rsidR="0070262D" w:rsidRDefault="00CD235A" w:rsidP="00AC5FC3">
            <w:pPr>
              <w:pStyle w:val="liste1"/>
            </w:pPr>
            <w:r>
              <w:t>Intensifier les stratégies de suivi actif du couple Mère-Enfant</w:t>
            </w:r>
            <w:r w:rsidR="0070262D">
              <w:t xml:space="preserve"> et a</w:t>
            </w:r>
            <w:r>
              <w:t xml:space="preserve">méliorer la couverture des enfants </w:t>
            </w:r>
            <w:r w:rsidR="0070262D">
              <w:t>en</w:t>
            </w:r>
            <w:r>
              <w:t xml:space="preserve"> dépistage précoce</w:t>
            </w:r>
          </w:p>
          <w:p w14:paraId="14B5D905" w14:textId="55DC0950" w:rsidR="0070262D" w:rsidRDefault="00CD235A" w:rsidP="0070262D">
            <w:pPr>
              <w:pStyle w:val="liste1"/>
            </w:pPr>
            <w:r>
              <w:t xml:space="preserve">Renforcer </w:t>
            </w:r>
            <w:r w:rsidR="0070262D">
              <w:t>la prise en charge du VIH chez les enfants et les adolescents</w:t>
            </w:r>
          </w:p>
          <w:p w14:paraId="2EF68E12" w14:textId="5CC904F8" w:rsidR="0070262D" w:rsidRDefault="0070262D" w:rsidP="00AC5FC3">
            <w:pPr>
              <w:pStyle w:val="liste1"/>
            </w:pPr>
            <w:r>
              <w:t>A</w:t>
            </w:r>
            <w:r w:rsidR="00CD235A">
              <w:t xml:space="preserve">méliorer la rétention des patients dans les soins, </w:t>
            </w:r>
            <w:r>
              <w:t>à travers le passage à l’échelle des approches différenciées de traitement</w:t>
            </w:r>
          </w:p>
          <w:p w14:paraId="14EF4C31" w14:textId="6800BBF3" w:rsidR="0070262D" w:rsidRDefault="00CD235A" w:rsidP="00AC5FC3">
            <w:pPr>
              <w:pStyle w:val="liste1"/>
            </w:pPr>
            <w:r>
              <w:t xml:space="preserve">Accroitre l’offre de charge virale aux </w:t>
            </w:r>
            <w:r w:rsidR="0070262D">
              <w:t xml:space="preserve">PVVIH par </w:t>
            </w:r>
            <w:r>
              <w:t>une meilleure opérationnalisation du réseautage et des procédures d’acheminement</w:t>
            </w:r>
            <w:r w:rsidR="0070262D">
              <w:t>, l’incitation des prescripteurs et de la demande des bénéficiaires</w:t>
            </w:r>
            <w:r>
              <w:t xml:space="preserve">, </w:t>
            </w:r>
          </w:p>
          <w:p w14:paraId="2852F9A6" w14:textId="67951657" w:rsidR="0070262D" w:rsidRDefault="0070262D" w:rsidP="00AC5FC3">
            <w:pPr>
              <w:pStyle w:val="liste1"/>
            </w:pPr>
            <w:r>
              <w:t>M</w:t>
            </w:r>
            <w:r w:rsidR="00CD235A">
              <w:t xml:space="preserve">ettre en place </w:t>
            </w:r>
            <w:r>
              <w:t>d</w:t>
            </w:r>
            <w:r w:rsidR="005C293E">
              <w:t xml:space="preserve">es </w:t>
            </w:r>
            <w:r w:rsidR="00CD235A">
              <w:t xml:space="preserve">équipes techniques en appui aux </w:t>
            </w:r>
            <w:r>
              <w:t>DS</w:t>
            </w:r>
            <w:r w:rsidR="00CD235A">
              <w:t xml:space="preserve"> non soutenus par le PEPFAR en vue d’une bonne préparation de la transition</w:t>
            </w:r>
          </w:p>
          <w:p w14:paraId="7755002E" w14:textId="38EAC701" w:rsidR="00CD235A" w:rsidRPr="00B4752E" w:rsidRDefault="00CD235A" w:rsidP="00B4752E">
            <w:pPr>
              <w:pStyle w:val="liste1"/>
            </w:pPr>
            <w:r>
              <w:t>Mieux utiliser les données pour cibler les zones géographiques (régions, districts, sites) et les populations qui contribuent le plus aux lacunes des programmes et aux nouvelles infections.</w:t>
            </w:r>
            <w:r>
              <w:rPr>
                <w:highlight w:val="yellow"/>
              </w:rPr>
              <w:t xml:space="preserve"> </w:t>
            </w:r>
          </w:p>
          <w:p w14:paraId="01D64CC7" w14:textId="77777777" w:rsidR="00AC5FC3" w:rsidRPr="00750CA9" w:rsidRDefault="00CD235A" w:rsidP="00390EA4">
            <w:pPr>
              <w:pStyle w:val="Texteformulaire"/>
              <w:rPr>
                <w:b/>
                <w:lang w:val="fr-FR"/>
              </w:rPr>
            </w:pPr>
            <w:r w:rsidRPr="00750CA9">
              <w:rPr>
                <w:b/>
                <w:lang w:val="fr-FR"/>
              </w:rPr>
              <w:t xml:space="preserve">Une implication accrue de la société civile (SC). </w:t>
            </w:r>
          </w:p>
          <w:p w14:paraId="42DF35A4" w14:textId="5896F82B" w:rsidR="008E125C" w:rsidRDefault="008E125C" w:rsidP="00390EA4">
            <w:pPr>
              <w:pStyle w:val="Texteformulaire"/>
              <w:rPr>
                <w:rFonts w:eastAsia="SimSun"/>
                <w:lang w:val="fr-FR" w:eastAsia="zh-CN"/>
              </w:rPr>
            </w:pPr>
            <w:r>
              <w:rPr>
                <w:rFonts w:eastAsia="SimSun"/>
                <w:lang w:val="fr-FR" w:eastAsia="zh-CN"/>
              </w:rPr>
              <w:t>Sous l’égide d’Alliance Côte d’Ivoire, les OSC actives</w:t>
            </w:r>
            <w:r w:rsidRPr="00750CA9">
              <w:rPr>
                <w:lang w:val="fr-FR"/>
              </w:rPr>
              <w:t xml:space="preserve"> dans la </w:t>
            </w:r>
            <w:r>
              <w:rPr>
                <w:rFonts w:eastAsia="SimSun"/>
                <w:lang w:val="fr-FR" w:eastAsia="zh-CN"/>
              </w:rPr>
              <w:t xml:space="preserve">mise en œuvre du </w:t>
            </w:r>
            <w:r w:rsidRPr="00750CA9">
              <w:rPr>
                <w:lang w:val="fr-FR"/>
              </w:rPr>
              <w:t>NFM2</w:t>
            </w:r>
            <w:r>
              <w:rPr>
                <w:rFonts w:eastAsia="SimSun"/>
                <w:lang w:val="fr-FR" w:eastAsia="zh-CN"/>
              </w:rPr>
              <w:t xml:space="preserve"> ont pu : </w:t>
            </w:r>
          </w:p>
          <w:p w14:paraId="7AAA1DBC" w14:textId="42CD0D92" w:rsidR="008E125C" w:rsidRDefault="000525BF" w:rsidP="000525BF">
            <w:pPr>
              <w:pStyle w:val="liste1"/>
              <w:rPr>
                <w:lang w:eastAsia="zh-CN"/>
              </w:rPr>
            </w:pPr>
            <w:r>
              <w:rPr>
                <w:lang w:eastAsia="zh-CN"/>
              </w:rPr>
              <w:t>D</w:t>
            </w:r>
            <w:r w:rsidR="008E125C" w:rsidRPr="00D53A20">
              <w:rPr>
                <w:lang w:eastAsia="zh-CN"/>
              </w:rPr>
              <w:t xml:space="preserve">épister </w:t>
            </w:r>
            <w:r w:rsidR="008E125C" w:rsidRPr="00750CA9">
              <w:t xml:space="preserve">270 076 personnes </w:t>
            </w:r>
            <w:r w:rsidR="008E125C" w:rsidRPr="00D53A20">
              <w:rPr>
                <w:lang w:eastAsia="zh-CN"/>
              </w:rPr>
              <w:t>en 2019</w:t>
            </w:r>
            <w:r w:rsidR="008E125C">
              <w:rPr>
                <w:lang w:eastAsia="zh-CN"/>
              </w:rPr>
              <w:t>, d</w:t>
            </w:r>
            <w:r w:rsidR="00CD235A" w:rsidRPr="00D53A20">
              <w:rPr>
                <w:lang w:eastAsia="zh-CN"/>
              </w:rPr>
              <w:t>ans 44 districts sanitaires</w:t>
            </w:r>
            <w:r w:rsidR="008E125C">
              <w:rPr>
                <w:lang w:eastAsia="zh-CN"/>
              </w:rPr>
              <w:t xml:space="preserve">, </w:t>
            </w:r>
            <w:r w:rsidR="008E125C" w:rsidRPr="00750CA9">
              <w:t>p</w:t>
            </w:r>
            <w:r w:rsidR="00CD235A" w:rsidRPr="00750CA9">
              <w:t xml:space="preserve">armi lesquelles 64 820 Hommes </w:t>
            </w:r>
            <w:r w:rsidR="008E125C">
              <w:rPr>
                <w:lang w:eastAsia="zh-CN"/>
              </w:rPr>
              <w:t>≥</w:t>
            </w:r>
            <w:r w:rsidR="008E125C" w:rsidRPr="00750CA9">
              <w:t xml:space="preserve"> </w:t>
            </w:r>
            <w:r w:rsidR="00CD235A" w:rsidRPr="00750CA9">
              <w:t>25 ans</w:t>
            </w:r>
            <w:r w:rsidR="008E125C">
              <w:rPr>
                <w:lang w:eastAsia="zh-CN"/>
              </w:rPr>
              <w:t>,</w:t>
            </w:r>
            <w:r w:rsidR="00CD235A" w:rsidRPr="00750CA9">
              <w:t xml:space="preserve"> permettant d’identifier 1 599 </w:t>
            </w:r>
            <w:r w:rsidR="008E125C">
              <w:rPr>
                <w:lang w:eastAsia="zh-CN"/>
              </w:rPr>
              <w:t>PVVIH,</w:t>
            </w:r>
            <w:r w:rsidR="00CD235A" w:rsidRPr="00750CA9">
              <w:t xml:space="preserve"> soit respectivement 10% </w:t>
            </w:r>
            <w:r w:rsidR="00CD235A" w:rsidRPr="00D53A20">
              <w:rPr>
                <w:lang w:eastAsia="zh-CN"/>
              </w:rPr>
              <w:t>d</w:t>
            </w:r>
            <w:r w:rsidR="008E125C">
              <w:rPr>
                <w:lang w:eastAsia="zh-CN"/>
              </w:rPr>
              <w:t>es</w:t>
            </w:r>
            <w:r w:rsidR="00CD235A" w:rsidRPr="00D53A20">
              <w:rPr>
                <w:lang w:eastAsia="zh-CN"/>
              </w:rPr>
              <w:t xml:space="preserve"> dépistage</w:t>
            </w:r>
            <w:r w:rsidR="008E125C">
              <w:rPr>
                <w:lang w:eastAsia="zh-CN"/>
              </w:rPr>
              <w:t>s</w:t>
            </w:r>
            <w:r w:rsidR="00CD235A" w:rsidRPr="00750CA9">
              <w:t xml:space="preserve"> et 3% des </w:t>
            </w:r>
            <w:r w:rsidR="008E125C">
              <w:rPr>
                <w:lang w:eastAsia="zh-CN"/>
              </w:rPr>
              <w:t>PVVIH</w:t>
            </w:r>
            <w:r w:rsidR="008E125C" w:rsidRPr="00750CA9">
              <w:t xml:space="preserve"> </w:t>
            </w:r>
            <w:r w:rsidR="00CD235A" w:rsidRPr="00750CA9">
              <w:t>dépistées au niveau national</w:t>
            </w:r>
          </w:p>
          <w:p w14:paraId="7ECD2D2D" w14:textId="293C56AD" w:rsidR="008E125C" w:rsidRDefault="000525BF" w:rsidP="000525BF">
            <w:pPr>
              <w:pStyle w:val="liste1"/>
              <w:rPr>
                <w:lang w:eastAsia="zh-CN"/>
              </w:rPr>
            </w:pPr>
            <w:r>
              <w:rPr>
                <w:lang w:eastAsia="zh-CN"/>
              </w:rPr>
              <w:t>Au</w:t>
            </w:r>
            <w:r w:rsidR="008E125C">
              <w:rPr>
                <w:lang w:eastAsia="zh-CN"/>
              </w:rPr>
              <w:t xml:space="preserve"> total</w:t>
            </w:r>
            <w:r w:rsidR="008E125C" w:rsidRPr="00750CA9">
              <w:t xml:space="preserve"> </w:t>
            </w:r>
            <w:r w:rsidR="00CD235A" w:rsidRPr="00750CA9">
              <w:t xml:space="preserve">185 616 adolescentes et jeunes femmes </w:t>
            </w:r>
            <w:r w:rsidR="008E125C">
              <w:rPr>
                <w:lang w:eastAsia="zh-CN"/>
              </w:rPr>
              <w:t xml:space="preserve">ont bénéficié des </w:t>
            </w:r>
            <w:r w:rsidR="00CD235A" w:rsidRPr="00750CA9">
              <w:t xml:space="preserve">programmes de </w:t>
            </w:r>
            <w:proofErr w:type="spellStart"/>
            <w:r w:rsidR="00CD235A" w:rsidRPr="00750CA9">
              <w:t>prevention</w:t>
            </w:r>
            <w:proofErr w:type="spellEnd"/>
            <w:r w:rsidR="00CD235A" w:rsidRPr="00750CA9">
              <w:t xml:space="preserve"> et </w:t>
            </w:r>
            <w:r w:rsidR="008E125C">
              <w:rPr>
                <w:lang w:eastAsia="zh-CN"/>
              </w:rPr>
              <w:t xml:space="preserve">du </w:t>
            </w:r>
            <w:r w:rsidR="00CD235A" w:rsidRPr="00750CA9">
              <w:t xml:space="preserve">paquet de service </w:t>
            </w:r>
            <w:r w:rsidR="00CD235A" w:rsidRPr="00D53A20">
              <w:rPr>
                <w:lang w:eastAsia="zh-CN"/>
              </w:rPr>
              <w:t>d</w:t>
            </w:r>
            <w:r w:rsidR="008E125C">
              <w:rPr>
                <w:lang w:eastAsia="zh-CN"/>
              </w:rPr>
              <w:t>é</w:t>
            </w:r>
            <w:r w:rsidR="00CD235A" w:rsidRPr="00D53A20">
              <w:rPr>
                <w:lang w:eastAsia="zh-CN"/>
              </w:rPr>
              <w:t>finis</w:t>
            </w:r>
          </w:p>
          <w:p w14:paraId="78A8B270" w14:textId="1D5B1F90" w:rsidR="008E125C" w:rsidRDefault="00CD235A" w:rsidP="000525BF">
            <w:pPr>
              <w:pStyle w:val="liste1"/>
              <w:rPr>
                <w:lang w:eastAsia="zh-CN"/>
              </w:rPr>
            </w:pPr>
            <w:r w:rsidRPr="00750CA9">
              <w:t xml:space="preserve">Concernant les populations clés, 8 521 TS, 4153 HSH et 4587 UD ont </w:t>
            </w:r>
            <w:r w:rsidRPr="00D53A20">
              <w:rPr>
                <w:lang w:eastAsia="zh-CN"/>
              </w:rPr>
              <w:t>bénéficié d</w:t>
            </w:r>
            <w:r w:rsidR="000525BF">
              <w:rPr>
                <w:lang w:eastAsia="zh-CN"/>
              </w:rPr>
              <w:t>u</w:t>
            </w:r>
            <w:r w:rsidRPr="00750CA9">
              <w:t xml:space="preserve"> programme de prévention combinée en 2019</w:t>
            </w:r>
            <w:r w:rsidR="00B4752E">
              <w:t xml:space="preserve"> </w:t>
            </w:r>
            <w:r w:rsidR="00B4752E" w:rsidRPr="00B4752E">
              <w:rPr>
                <w:color w:val="FF0000"/>
              </w:rPr>
              <w:t>selon les directives nationales (</w:t>
            </w:r>
            <w:r w:rsidR="00B4752E" w:rsidRPr="00B4752E">
              <w:rPr>
                <w:i/>
                <w:iCs/>
                <w:color w:val="FF0000"/>
              </w:rPr>
              <w:t>Annexe 28</w:t>
            </w:r>
            <w:r w:rsidR="00B4752E" w:rsidRPr="00B4752E">
              <w:rPr>
                <w:color w:val="FF0000"/>
              </w:rPr>
              <w:t>)</w:t>
            </w:r>
            <w:r w:rsidRPr="00750CA9">
              <w:t>. Plus de 90% de ceux-ci avaient moins de 35 ans</w:t>
            </w:r>
            <w:r w:rsidR="000525BF">
              <w:rPr>
                <w:lang w:eastAsia="zh-CN"/>
              </w:rPr>
              <w:t>,</w:t>
            </w:r>
            <w:r w:rsidRPr="00750CA9">
              <w:t xml:space="preserve"> avec un taux d’acceptation du dépistage à plus 90%, un taux de positivité moyen à 4%, un taux d’enrôlement et de mise sous traitement à 99</w:t>
            </w:r>
            <w:r w:rsidRPr="00D53A20">
              <w:rPr>
                <w:lang w:eastAsia="zh-CN"/>
              </w:rPr>
              <w:t>%</w:t>
            </w:r>
          </w:p>
          <w:p w14:paraId="23C99FF7" w14:textId="0FE7DAD3" w:rsidR="00CD235A" w:rsidRPr="00750CA9" w:rsidRDefault="00CD235A" w:rsidP="00750CA9">
            <w:pPr>
              <w:pStyle w:val="liste1"/>
            </w:pPr>
            <w:r w:rsidRPr="00750CA9">
              <w:t>218 femmes enceintes dépistées positives et leurs familles ont été suivies par les acteurs communautaires</w:t>
            </w:r>
          </w:p>
          <w:p w14:paraId="7377EA10" w14:textId="395C610E" w:rsidR="008E125C" w:rsidRDefault="00CD235A" w:rsidP="000525BF">
            <w:pPr>
              <w:pStyle w:val="liste1"/>
              <w:rPr>
                <w:lang w:eastAsia="zh-CN"/>
              </w:rPr>
            </w:pPr>
            <w:r w:rsidRPr="00750CA9">
              <w:lastRenderedPageBreak/>
              <w:t>Ce sont 31 169 PVVIH sous traitement issues des 176 sites soutenus par Alliance C</w:t>
            </w:r>
            <w:r w:rsidR="0002374C">
              <w:t>ôte d’Ivoire</w:t>
            </w:r>
            <w:r w:rsidRPr="00750CA9">
              <w:t xml:space="preserve"> qui ont été suivis par les communautaires soit 12% de la file active nationale au 31 décembre 2019</w:t>
            </w:r>
          </w:p>
          <w:p w14:paraId="7D00523C" w14:textId="29118990" w:rsidR="008E125C" w:rsidRDefault="00CD235A" w:rsidP="000525BF">
            <w:pPr>
              <w:pStyle w:val="liste1"/>
              <w:rPr>
                <w:lang w:eastAsia="zh-CN"/>
              </w:rPr>
            </w:pPr>
            <w:r w:rsidRPr="00750CA9">
              <w:t xml:space="preserve">996 patients VIH issus des populations clés ont été suivis en 2019 par la SC. </w:t>
            </w:r>
          </w:p>
          <w:p w14:paraId="72C84BDF" w14:textId="449B9AA7" w:rsidR="00CD235A" w:rsidRPr="00750CA9" w:rsidRDefault="008E125C" w:rsidP="00390EA4">
            <w:pPr>
              <w:pStyle w:val="Texteformulaire"/>
              <w:rPr>
                <w:lang w:val="fr-FR"/>
              </w:rPr>
            </w:pPr>
            <w:r>
              <w:rPr>
                <w:rFonts w:eastAsia="SimSun"/>
                <w:lang w:val="fr-FR" w:eastAsia="zh-CN"/>
              </w:rPr>
              <w:t>Par ailleurs, l’</w:t>
            </w:r>
            <w:r w:rsidR="00CD235A" w:rsidRPr="00D53A20">
              <w:rPr>
                <w:rFonts w:eastAsia="SimSun"/>
                <w:lang w:val="fr-FR" w:eastAsia="zh-CN"/>
              </w:rPr>
              <w:t>observatoire</w:t>
            </w:r>
            <w:r w:rsidR="00CD235A" w:rsidRPr="00750CA9">
              <w:rPr>
                <w:lang w:val="fr-FR"/>
              </w:rPr>
              <w:t xml:space="preserve"> des droits humains et </w:t>
            </w:r>
            <w:r w:rsidR="00CD235A" w:rsidRPr="00D53A20">
              <w:rPr>
                <w:rFonts w:eastAsia="SimSun"/>
                <w:lang w:val="fr-FR" w:eastAsia="zh-CN"/>
              </w:rPr>
              <w:t>d</w:t>
            </w:r>
            <w:r>
              <w:rPr>
                <w:rFonts w:eastAsia="SimSun"/>
                <w:lang w:val="fr-FR" w:eastAsia="zh-CN"/>
              </w:rPr>
              <w:t>e l</w:t>
            </w:r>
            <w:r w:rsidR="00CD235A" w:rsidRPr="00D53A20">
              <w:rPr>
                <w:rFonts w:eastAsia="SimSun"/>
                <w:lang w:val="fr-FR" w:eastAsia="zh-CN"/>
              </w:rPr>
              <w:t>’accès</w:t>
            </w:r>
            <w:r w:rsidR="00CD235A" w:rsidRPr="00750CA9">
              <w:rPr>
                <w:lang w:val="fr-FR"/>
              </w:rPr>
              <w:t xml:space="preserve"> au traitement a permis tout le long de l’année 2019 de collecter 162 violations des droits des PVVIH et des populations clés</w:t>
            </w:r>
            <w:r>
              <w:rPr>
                <w:rFonts w:eastAsia="SimSun"/>
                <w:lang w:val="fr-FR" w:eastAsia="zh-CN"/>
              </w:rPr>
              <w:t> ;</w:t>
            </w:r>
            <w:r w:rsidR="00CD235A" w:rsidRPr="00750CA9">
              <w:rPr>
                <w:lang w:val="fr-FR"/>
              </w:rPr>
              <w:t xml:space="preserve"> 218 </w:t>
            </w:r>
            <w:r>
              <w:rPr>
                <w:lang w:val="fr-FR" w:eastAsia="zh-CN"/>
              </w:rPr>
              <w:t xml:space="preserve">épisodes de </w:t>
            </w:r>
            <w:r w:rsidR="00CD235A" w:rsidRPr="00D53A20">
              <w:rPr>
                <w:rFonts w:eastAsia="SimSun"/>
                <w:lang w:val="fr-FR" w:eastAsia="zh-CN"/>
              </w:rPr>
              <w:t xml:space="preserve">rupture de </w:t>
            </w:r>
            <w:r>
              <w:rPr>
                <w:rFonts w:eastAsia="SimSun"/>
                <w:lang w:val="fr-FR" w:eastAsia="zh-CN"/>
              </w:rPr>
              <w:t>produits de santé,</w:t>
            </w:r>
            <w:r w:rsidRPr="00750CA9">
              <w:rPr>
                <w:lang w:val="fr-FR"/>
              </w:rPr>
              <w:t xml:space="preserve"> </w:t>
            </w:r>
            <w:r w:rsidR="00CD235A" w:rsidRPr="00750CA9">
              <w:rPr>
                <w:lang w:val="fr-FR"/>
              </w:rPr>
              <w:t xml:space="preserve">et </w:t>
            </w:r>
            <w:r w:rsidR="00CD235A" w:rsidRPr="00D53A20">
              <w:rPr>
                <w:rFonts w:eastAsia="SimSun"/>
                <w:lang w:val="fr-FR" w:eastAsia="zh-CN"/>
              </w:rPr>
              <w:t>travaill</w:t>
            </w:r>
            <w:r>
              <w:rPr>
                <w:rFonts w:eastAsia="SimSun"/>
                <w:lang w:val="fr-FR" w:eastAsia="zh-CN"/>
              </w:rPr>
              <w:t>é</w:t>
            </w:r>
            <w:r w:rsidR="00CD235A" w:rsidRPr="00750CA9">
              <w:rPr>
                <w:lang w:val="fr-FR"/>
              </w:rPr>
              <w:t xml:space="preserve"> à apporter des appuis/solutions à 175 d’entre elles</w:t>
            </w:r>
            <w:r>
              <w:rPr>
                <w:lang w:val="fr-FR" w:eastAsia="zh-CN"/>
              </w:rPr>
              <w:t>,</w:t>
            </w:r>
            <w:r w:rsidR="00CD235A" w:rsidRPr="00750CA9">
              <w:rPr>
                <w:lang w:val="fr-FR"/>
              </w:rPr>
              <w:t xml:space="preserve"> soit 80% des ruptures constatées. </w:t>
            </w:r>
          </w:p>
          <w:p w14:paraId="7AC7E22A" w14:textId="2F08C925" w:rsidR="008E125C" w:rsidRDefault="00CD235A" w:rsidP="00390EA4">
            <w:pPr>
              <w:pStyle w:val="Texteformulaire"/>
              <w:rPr>
                <w:rFonts w:eastAsia="SimSun"/>
                <w:lang w:val="fr-FR" w:eastAsia="zh-CN"/>
              </w:rPr>
            </w:pPr>
            <w:r w:rsidRPr="00750CA9">
              <w:rPr>
                <w:lang w:val="fr-FR"/>
              </w:rPr>
              <w:t xml:space="preserve">Cependant, </w:t>
            </w:r>
            <w:r w:rsidRPr="00D53A20">
              <w:rPr>
                <w:rFonts w:eastAsia="SimSun"/>
                <w:lang w:val="fr-FR" w:eastAsia="zh-CN"/>
              </w:rPr>
              <w:t>d</w:t>
            </w:r>
            <w:r w:rsidR="0042570E">
              <w:rPr>
                <w:rFonts w:eastAsia="SimSun"/>
                <w:lang w:val="fr-FR" w:eastAsia="zh-CN"/>
              </w:rPr>
              <w:t>’</w:t>
            </w:r>
            <w:r w:rsidR="008E125C">
              <w:rPr>
                <w:rFonts w:eastAsia="SimSun"/>
                <w:lang w:val="fr-FR" w:eastAsia="zh-CN"/>
              </w:rPr>
              <w:t>importants</w:t>
            </w:r>
            <w:r w:rsidR="008E125C" w:rsidRPr="00750CA9">
              <w:rPr>
                <w:lang w:val="fr-FR"/>
              </w:rPr>
              <w:t xml:space="preserve"> </w:t>
            </w:r>
            <w:r w:rsidR="0042570E" w:rsidRPr="00750CA9">
              <w:rPr>
                <w:lang w:val="fr-FR"/>
              </w:rPr>
              <w:t xml:space="preserve">défis </w:t>
            </w:r>
            <w:r w:rsidR="0042570E">
              <w:rPr>
                <w:rFonts w:eastAsia="SimSun"/>
                <w:lang w:val="fr-FR" w:eastAsia="zh-CN"/>
              </w:rPr>
              <w:t>pour</w:t>
            </w:r>
            <w:r w:rsidR="0042570E" w:rsidRPr="00750CA9">
              <w:rPr>
                <w:lang w:val="fr-FR"/>
              </w:rPr>
              <w:t xml:space="preserve"> </w:t>
            </w:r>
            <w:r w:rsidRPr="00750CA9">
              <w:rPr>
                <w:lang w:val="fr-FR"/>
              </w:rPr>
              <w:t>la contribution communautaire</w:t>
            </w:r>
            <w:r w:rsidR="0042570E" w:rsidRPr="00750CA9">
              <w:rPr>
                <w:lang w:val="fr-FR"/>
              </w:rPr>
              <w:t xml:space="preserve"> </w:t>
            </w:r>
            <w:r w:rsidR="0042570E">
              <w:rPr>
                <w:rFonts w:eastAsia="SimSun"/>
                <w:lang w:val="fr-FR" w:eastAsia="zh-CN"/>
              </w:rPr>
              <w:t>à la réponse</w:t>
            </w:r>
            <w:r w:rsidRPr="00D53A20">
              <w:rPr>
                <w:rFonts w:eastAsia="SimSun"/>
                <w:lang w:val="fr-FR" w:eastAsia="zh-CN"/>
              </w:rPr>
              <w:t xml:space="preserve"> </w:t>
            </w:r>
            <w:r w:rsidRPr="00750CA9">
              <w:rPr>
                <w:lang w:val="fr-FR"/>
              </w:rPr>
              <w:t>demeurent</w:t>
            </w:r>
            <w:r w:rsidR="008E125C">
              <w:rPr>
                <w:rFonts w:eastAsia="SimSun"/>
                <w:lang w:val="fr-FR" w:eastAsia="zh-CN"/>
              </w:rPr>
              <w:t> :</w:t>
            </w:r>
          </w:p>
          <w:p w14:paraId="1F171A7D" w14:textId="7F1968EE" w:rsidR="0042570E" w:rsidRDefault="0042570E" w:rsidP="0042570E">
            <w:pPr>
              <w:pStyle w:val="liste1"/>
              <w:rPr>
                <w:lang w:eastAsia="zh-CN"/>
              </w:rPr>
            </w:pPr>
            <w:r w:rsidRPr="00750CA9">
              <w:t>Concernant</w:t>
            </w:r>
            <w:r w:rsidR="00CD235A" w:rsidRPr="00750CA9">
              <w:t xml:space="preserve"> la prévention combinée, les HSH de plus de 35 ans, les transgenres et les clients de TS ont été peu ciblés</w:t>
            </w:r>
          </w:p>
          <w:p w14:paraId="7E1DAC4E" w14:textId="0CDB6029" w:rsidR="0042570E" w:rsidRDefault="00CD235A" w:rsidP="0042570E">
            <w:pPr>
              <w:pStyle w:val="liste1"/>
              <w:rPr>
                <w:lang w:eastAsia="zh-CN"/>
              </w:rPr>
            </w:pPr>
            <w:r w:rsidRPr="00750CA9">
              <w:t xml:space="preserve">L’absence d’identifiant unique constitue un risque de doublon </w:t>
            </w:r>
          </w:p>
          <w:p w14:paraId="4F67F4E7" w14:textId="5704B55F" w:rsidR="00CD235A" w:rsidRPr="00750CA9" w:rsidRDefault="00CD235A" w:rsidP="00750CA9">
            <w:pPr>
              <w:pStyle w:val="liste1"/>
            </w:pPr>
            <w:r w:rsidRPr="00750CA9">
              <w:t xml:space="preserve">Le suivi du couple mère-enfant et l’implication des conjoints demeurent insuffisants </w:t>
            </w:r>
          </w:p>
          <w:p w14:paraId="622B2AAA" w14:textId="2B9B6680" w:rsidR="00CD235A" w:rsidRPr="00750CA9" w:rsidRDefault="00CD235A" w:rsidP="00750CA9">
            <w:pPr>
              <w:pStyle w:val="liste1"/>
              <w:rPr>
                <w:lang w:val="fr-CH"/>
              </w:rPr>
            </w:pPr>
            <w:r w:rsidRPr="00750CA9">
              <w:t xml:space="preserve">Relativement aux soins et soutiens, la rétention est un enjeu </w:t>
            </w:r>
            <w:r w:rsidR="0042570E">
              <w:rPr>
                <w:lang w:eastAsia="zh-CN"/>
              </w:rPr>
              <w:t xml:space="preserve">majeur, </w:t>
            </w:r>
            <w:r w:rsidRPr="00750CA9">
              <w:t>avec 972 patients perdus de vue (3</w:t>
            </w:r>
            <w:r w:rsidR="0042570E">
              <w:rPr>
                <w:lang w:eastAsia="zh-CN"/>
              </w:rPr>
              <w:t>,</w:t>
            </w:r>
            <w:r w:rsidRPr="00750CA9">
              <w:t>1% de la FA des 176 sites), 1 551 patients en retard au traitement (4</w:t>
            </w:r>
            <w:r w:rsidR="0042570E">
              <w:rPr>
                <w:lang w:eastAsia="zh-CN"/>
              </w:rPr>
              <w:t>,</w:t>
            </w:r>
            <w:r w:rsidRPr="00750CA9">
              <w:t>9% de la FA des 176 sites) et 155 patients (0</w:t>
            </w:r>
            <w:r w:rsidR="0042570E">
              <w:rPr>
                <w:lang w:eastAsia="zh-CN"/>
              </w:rPr>
              <w:t>,</w:t>
            </w:r>
            <w:r w:rsidRPr="00750CA9">
              <w:t>5% de la FA des 176 sites) en arrêt de traitement dans les 176 structures de santé issues des 44 districts sanitaires</w:t>
            </w:r>
            <w:r w:rsidR="0042570E">
              <w:rPr>
                <w:lang w:eastAsia="zh-CN"/>
              </w:rPr>
              <w:t xml:space="preserve"> appuyés par Alliance Côte d’Ivoire et ses sous-bénéficiaires</w:t>
            </w:r>
          </w:p>
          <w:p w14:paraId="11641116" w14:textId="30BD6932" w:rsidR="005C293E" w:rsidRDefault="0042570E" w:rsidP="000525BF">
            <w:pPr>
              <w:pStyle w:val="liste1"/>
              <w:rPr>
                <w:lang w:eastAsia="zh-CN"/>
              </w:rPr>
            </w:pPr>
            <w:r>
              <w:t>Renforcement</w:t>
            </w:r>
            <w:r w:rsidR="005C293E">
              <w:t xml:space="preserve"> du </w:t>
            </w:r>
            <w:r w:rsidR="005C293E" w:rsidRPr="00C21DE7">
              <w:t>r</w:t>
            </w:r>
            <w:r w:rsidR="005C293E">
              <w:t>ôle des organisations de la société civile et communautaires (y compris des organisations/réseaux de pop clés) dans la planification, mise en œuvre et suivi évaluation des services VIH</w:t>
            </w:r>
            <w:r w:rsidR="00A63E6B">
              <w:t>.</w:t>
            </w:r>
          </w:p>
          <w:p w14:paraId="5C103DB1" w14:textId="77777777" w:rsidR="00AC5FC3" w:rsidRPr="00750CA9" w:rsidRDefault="00CD235A" w:rsidP="00390EA4">
            <w:pPr>
              <w:pStyle w:val="Texteformulaire"/>
              <w:rPr>
                <w:lang w:val="fr-FR"/>
              </w:rPr>
            </w:pPr>
            <w:r w:rsidRPr="00750CA9">
              <w:rPr>
                <w:lang w:val="fr-FR"/>
              </w:rPr>
              <w:t xml:space="preserve">Les </w:t>
            </w:r>
            <w:r w:rsidRPr="00750CA9">
              <w:rPr>
                <w:b/>
                <w:lang w:val="fr-FR"/>
              </w:rPr>
              <w:t>principales leçons apprises</w:t>
            </w:r>
            <w:r w:rsidRPr="00750CA9">
              <w:rPr>
                <w:lang w:val="fr-FR"/>
              </w:rPr>
              <w:t xml:space="preserve"> montrent la nécessité de : </w:t>
            </w:r>
          </w:p>
          <w:p w14:paraId="35D9D5D0" w14:textId="1E459947" w:rsidR="00AC5FC3" w:rsidRDefault="00450524" w:rsidP="00AC5FC3">
            <w:pPr>
              <w:pStyle w:val="liste1"/>
              <w:rPr>
                <w:lang w:eastAsia="zh-CN"/>
              </w:rPr>
            </w:pPr>
            <w:r>
              <w:rPr>
                <w:lang w:eastAsia="zh-CN"/>
              </w:rPr>
              <w:t>Mettre</w:t>
            </w:r>
            <w:r w:rsidR="00CD235A">
              <w:rPr>
                <w:lang w:eastAsia="zh-CN"/>
              </w:rPr>
              <w:t xml:space="preserve"> en œuvre des stratégies innovantes d’accès et d’utilisation des services de prévention combinée en direction des populations clés et vulnérables</w:t>
            </w:r>
            <w:r>
              <w:rPr>
                <w:lang w:eastAsia="zh-CN"/>
              </w:rPr>
              <w:t>,</w:t>
            </w:r>
            <w:r w:rsidR="00CD235A">
              <w:rPr>
                <w:lang w:eastAsia="zh-CN"/>
              </w:rPr>
              <w:t xml:space="preserve"> en incluant les jeunes en milieu scolaire, les clients des TS, les transgenres, les HSH âgés et bisexuels, tout en </w:t>
            </w:r>
            <w:r>
              <w:rPr>
                <w:lang w:eastAsia="zh-CN"/>
              </w:rPr>
              <w:t>promouvant l’</w:t>
            </w:r>
            <w:r w:rsidR="00CD235A">
              <w:rPr>
                <w:lang w:eastAsia="zh-CN"/>
              </w:rPr>
              <w:t>identifiant unique</w:t>
            </w:r>
            <w:r>
              <w:rPr>
                <w:lang w:eastAsia="zh-CN"/>
              </w:rPr>
              <w:t xml:space="preserve"> de la CMU</w:t>
            </w:r>
          </w:p>
          <w:p w14:paraId="1CB8F59A" w14:textId="6F15F841" w:rsidR="00AC5FC3" w:rsidRDefault="00AC5FC3" w:rsidP="00AC5FC3">
            <w:pPr>
              <w:pStyle w:val="liste1"/>
              <w:rPr>
                <w:lang w:eastAsia="zh-CN"/>
              </w:rPr>
            </w:pPr>
            <w:r>
              <w:rPr>
                <w:lang w:eastAsia="zh-CN"/>
              </w:rPr>
              <w:t>R</w:t>
            </w:r>
            <w:r w:rsidR="00CD235A">
              <w:rPr>
                <w:lang w:eastAsia="zh-CN"/>
              </w:rPr>
              <w:t>enforcer le suivi communautaire du couple mère-enfant</w:t>
            </w:r>
            <w:r w:rsidR="00450524">
              <w:rPr>
                <w:lang w:eastAsia="zh-CN"/>
              </w:rPr>
              <w:t>, sur toute la durée du suivi jusqu’à l’obtention du statut définitif de l’enfant expos</w:t>
            </w:r>
            <w:r w:rsidR="00A63E6B">
              <w:rPr>
                <w:lang w:eastAsia="zh-CN"/>
              </w:rPr>
              <w:t>é</w:t>
            </w:r>
          </w:p>
          <w:p w14:paraId="03FC9ED1" w14:textId="2AC7A122" w:rsidR="00AC5FC3" w:rsidRPr="00AC5FC3" w:rsidRDefault="00AC5FC3" w:rsidP="00AC5FC3">
            <w:pPr>
              <w:pStyle w:val="liste1"/>
              <w:rPr>
                <w:rFonts w:eastAsiaTheme="minorHAnsi"/>
                <w:lang w:bidi="fr-FR"/>
              </w:rPr>
            </w:pPr>
            <w:r>
              <w:rPr>
                <w:lang w:eastAsia="zh-CN"/>
              </w:rPr>
              <w:t>E</w:t>
            </w:r>
            <w:r w:rsidR="00CD235A">
              <w:rPr>
                <w:lang w:eastAsia="zh-CN"/>
              </w:rPr>
              <w:t xml:space="preserve">tendre l’application </w:t>
            </w:r>
            <w:r w:rsidR="009E331B">
              <w:rPr>
                <w:lang w:eastAsia="zh-CN"/>
              </w:rPr>
              <w:t>« </w:t>
            </w:r>
            <w:r w:rsidR="00CD235A">
              <w:rPr>
                <w:lang w:eastAsia="zh-CN"/>
              </w:rPr>
              <w:t>MTB/VIH</w:t>
            </w:r>
            <w:r w:rsidR="009E331B">
              <w:rPr>
                <w:lang w:eastAsia="zh-CN"/>
              </w:rPr>
              <w:t> »</w:t>
            </w:r>
            <w:r w:rsidR="00CD235A">
              <w:rPr>
                <w:lang w:eastAsia="zh-CN"/>
              </w:rPr>
              <w:t xml:space="preserve"> pour améliorer le suivi des </w:t>
            </w:r>
            <w:r w:rsidR="009E331B">
              <w:rPr>
                <w:lang w:eastAsia="zh-CN"/>
              </w:rPr>
              <w:t xml:space="preserve">PVVIH </w:t>
            </w:r>
            <w:r w:rsidR="00CD235A">
              <w:rPr>
                <w:lang w:eastAsia="zh-CN"/>
              </w:rPr>
              <w:t xml:space="preserve">par l’envoi de </w:t>
            </w:r>
            <w:r w:rsidR="009E331B">
              <w:rPr>
                <w:lang w:eastAsia="zh-CN"/>
              </w:rPr>
              <w:t xml:space="preserve">SMS </w:t>
            </w:r>
            <w:r w:rsidR="00CD235A">
              <w:rPr>
                <w:lang w:eastAsia="zh-CN"/>
              </w:rPr>
              <w:t>ou messages vocaux</w:t>
            </w:r>
          </w:p>
          <w:p w14:paraId="04B1244B" w14:textId="477D64DA" w:rsidR="00AC5FC3" w:rsidRPr="00AC5FC3" w:rsidRDefault="00AC5FC3" w:rsidP="00AC5FC3">
            <w:pPr>
              <w:pStyle w:val="liste1"/>
              <w:rPr>
                <w:rFonts w:eastAsiaTheme="minorHAnsi"/>
                <w:lang w:bidi="fr-FR"/>
              </w:rPr>
            </w:pPr>
            <w:r>
              <w:rPr>
                <w:lang w:eastAsia="zh-CN"/>
              </w:rPr>
              <w:t>R</w:t>
            </w:r>
            <w:r w:rsidR="00CD235A">
              <w:rPr>
                <w:lang w:eastAsia="zh-CN"/>
              </w:rPr>
              <w:t>enforcer la mise en œuvre des neuf actions (analyse primaire des données, gestion des rendez-vous des patients, index-</w:t>
            </w:r>
            <w:proofErr w:type="spellStart"/>
            <w:r w:rsidR="00CD235A">
              <w:rPr>
                <w:lang w:eastAsia="zh-CN"/>
              </w:rPr>
              <w:t>testing</w:t>
            </w:r>
            <w:proofErr w:type="spellEnd"/>
            <w:r w:rsidR="00CD235A">
              <w:rPr>
                <w:lang w:eastAsia="zh-CN"/>
              </w:rPr>
              <w:t>, prise en charge nutritionnelle, éducation au traitement, soins à domicile, convoyage des échantillons, soutien social, recherche active de la TB chez les PVVIH</w:t>
            </w:r>
            <w:r w:rsidR="00A63E6B">
              <w:rPr>
                <w:lang w:eastAsia="zh-CN"/>
              </w:rPr>
              <w:t>)</w:t>
            </w:r>
            <w:r w:rsidR="00CD235A">
              <w:rPr>
                <w:lang w:eastAsia="zh-CN"/>
              </w:rPr>
              <w:t xml:space="preserve"> </w:t>
            </w:r>
          </w:p>
          <w:p w14:paraId="515A3B79" w14:textId="08B01EB8" w:rsidR="00AC5FC3" w:rsidRPr="00AC5FC3" w:rsidRDefault="009E331B" w:rsidP="00AC5FC3">
            <w:pPr>
              <w:pStyle w:val="liste1"/>
              <w:rPr>
                <w:rFonts w:eastAsiaTheme="minorHAnsi"/>
                <w:lang w:bidi="fr-FR"/>
              </w:rPr>
            </w:pPr>
            <w:r>
              <w:rPr>
                <w:lang w:eastAsia="zh-CN"/>
              </w:rPr>
              <w:t xml:space="preserve">Développer </w:t>
            </w:r>
            <w:r w:rsidR="00CD235A">
              <w:rPr>
                <w:lang w:eastAsia="zh-CN"/>
              </w:rPr>
              <w:t xml:space="preserve">la distribution communautaire des </w:t>
            </w:r>
            <w:proofErr w:type="spellStart"/>
            <w:r w:rsidR="00CD235A">
              <w:rPr>
                <w:lang w:eastAsia="zh-CN"/>
              </w:rPr>
              <w:t>ARVs</w:t>
            </w:r>
            <w:proofErr w:type="spellEnd"/>
            <w:r w:rsidR="00CD235A">
              <w:rPr>
                <w:lang w:eastAsia="zh-CN"/>
              </w:rPr>
              <w:t xml:space="preserve"> pour les PVVIH stables</w:t>
            </w:r>
            <w:r>
              <w:rPr>
                <w:lang w:eastAsia="zh-CN"/>
              </w:rPr>
              <w:t>,</w:t>
            </w:r>
            <w:r w:rsidR="00CD235A">
              <w:rPr>
                <w:lang w:eastAsia="zh-CN"/>
              </w:rPr>
              <w:t xml:space="preserve"> ou </w:t>
            </w:r>
            <w:r>
              <w:rPr>
                <w:lang w:eastAsia="zh-CN"/>
              </w:rPr>
              <w:t xml:space="preserve">pour les </w:t>
            </w:r>
            <w:r w:rsidR="00CD235A">
              <w:rPr>
                <w:lang w:eastAsia="zh-CN"/>
              </w:rPr>
              <w:t>non stables résidents dans les zones difficiles d’accès ou éloignés des centres de PEC et indigents</w:t>
            </w:r>
          </w:p>
          <w:p w14:paraId="1312AEE5" w14:textId="138B22A7" w:rsidR="00AC5FC3" w:rsidRPr="00AC5FC3" w:rsidRDefault="00AC5FC3" w:rsidP="00AC5FC3">
            <w:pPr>
              <w:pStyle w:val="liste1"/>
              <w:rPr>
                <w:rFonts w:eastAsiaTheme="minorHAnsi"/>
                <w:lang w:bidi="fr-FR"/>
              </w:rPr>
            </w:pPr>
            <w:r>
              <w:rPr>
                <w:lang w:eastAsia="zh-CN"/>
              </w:rPr>
              <w:t>M</w:t>
            </w:r>
            <w:r w:rsidR="00CD235A">
              <w:rPr>
                <w:lang w:eastAsia="zh-CN"/>
              </w:rPr>
              <w:t>ettre en œuvre la carte communautaire de performance (CCP) qui vise à renforcer le dialogue prestataire-</w:t>
            </w:r>
            <w:r w:rsidR="009E331B">
              <w:rPr>
                <w:lang w:eastAsia="zh-CN"/>
              </w:rPr>
              <w:t xml:space="preserve">bénéficiaire </w:t>
            </w:r>
            <w:r w:rsidR="00CD235A">
              <w:rPr>
                <w:lang w:eastAsia="zh-CN"/>
              </w:rPr>
              <w:t xml:space="preserve">et </w:t>
            </w:r>
            <w:r w:rsidR="009E331B">
              <w:rPr>
                <w:lang w:eastAsia="zh-CN"/>
              </w:rPr>
              <w:t>bénéficiaire-</w:t>
            </w:r>
            <w:r w:rsidR="00CD235A">
              <w:rPr>
                <w:lang w:eastAsia="zh-CN"/>
              </w:rPr>
              <w:t>autorités</w:t>
            </w:r>
            <w:r w:rsidR="009E331B">
              <w:rPr>
                <w:lang w:eastAsia="zh-CN"/>
              </w:rPr>
              <w:t>,</w:t>
            </w:r>
            <w:r w:rsidR="00CD235A">
              <w:rPr>
                <w:lang w:eastAsia="zh-CN"/>
              </w:rPr>
              <w:t xml:space="preserve"> afin d’améliorer les prestati</w:t>
            </w:r>
            <w:r w:rsidR="009E331B">
              <w:rPr>
                <w:lang w:eastAsia="zh-CN"/>
              </w:rPr>
              <w:t>ons</w:t>
            </w:r>
            <w:r w:rsidR="00CD235A">
              <w:rPr>
                <w:lang w:eastAsia="zh-CN"/>
              </w:rPr>
              <w:t xml:space="preserve"> de </w:t>
            </w:r>
            <w:proofErr w:type="spellStart"/>
            <w:r w:rsidR="00CD235A">
              <w:rPr>
                <w:lang w:eastAsia="zh-CN"/>
              </w:rPr>
              <w:t>servic</w:t>
            </w:r>
            <w:proofErr w:type="spellEnd"/>
          </w:p>
          <w:p w14:paraId="0BCE257A" w14:textId="018C4C2B" w:rsidR="00AC5FC3" w:rsidRPr="00AC5FC3" w:rsidRDefault="00AC5FC3" w:rsidP="00AC5FC3">
            <w:pPr>
              <w:pStyle w:val="liste1"/>
              <w:rPr>
                <w:rFonts w:eastAsiaTheme="minorHAnsi"/>
                <w:lang w:bidi="fr-FR"/>
              </w:rPr>
            </w:pPr>
            <w:r>
              <w:rPr>
                <w:lang w:eastAsia="zh-CN"/>
              </w:rPr>
              <w:t>R</w:t>
            </w:r>
            <w:r w:rsidR="00CD235A">
              <w:rPr>
                <w:lang w:eastAsia="zh-CN"/>
              </w:rPr>
              <w:t>enforcer l’implication des praticiens de la médecine traditionnelle et les camps de prière dans la rétention et recherche de</w:t>
            </w:r>
            <w:r w:rsidR="009E331B">
              <w:rPr>
                <w:lang w:eastAsia="zh-CN"/>
              </w:rPr>
              <w:t>s</w:t>
            </w:r>
            <w:r w:rsidR="00CD235A">
              <w:rPr>
                <w:lang w:eastAsia="zh-CN"/>
              </w:rPr>
              <w:t xml:space="preserve"> PDV </w:t>
            </w:r>
          </w:p>
          <w:p w14:paraId="2210E64E" w14:textId="7E52B135" w:rsidR="00AC5FC3" w:rsidRPr="00AC5FC3" w:rsidRDefault="00AC5FC3" w:rsidP="00AC5FC3">
            <w:pPr>
              <w:pStyle w:val="liste1"/>
              <w:rPr>
                <w:rFonts w:eastAsiaTheme="minorHAnsi"/>
                <w:lang w:bidi="fr-FR"/>
              </w:rPr>
            </w:pPr>
            <w:r>
              <w:rPr>
                <w:lang w:eastAsia="zh-CN"/>
              </w:rPr>
              <w:t>E</w:t>
            </w:r>
            <w:r w:rsidR="00CD235A">
              <w:rPr>
                <w:lang w:eastAsia="zh-CN"/>
              </w:rPr>
              <w:t>tendre et renforcer la couverture de l’observatoire des droits humains et d’accès au traitement</w:t>
            </w:r>
          </w:p>
          <w:p w14:paraId="698F5366" w14:textId="4565492C" w:rsidR="00AC5FC3" w:rsidRPr="00AC5FC3" w:rsidRDefault="00AC5FC3" w:rsidP="00AC5FC3">
            <w:pPr>
              <w:pStyle w:val="liste1"/>
              <w:rPr>
                <w:rFonts w:eastAsiaTheme="minorHAnsi"/>
                <w:lang w:bidi="fr-FR"/>
              </w:rPr>
            </w:pPr>
            <w:r>
              <w:rPr>
                <w:lang w:eastAsia="zh-CN"/>
              </w:rPr>
              <w:t>R</w:t>
            </w:r>
            <w:r w:rsidR="00CD235A">
              <w:rPr>
                <w:lang w:eastAsia="zh-CN"/>
              </w:rPr>
              <w:t>enforcer les actions de plaidoyer pour la réforme des lois, règlements et politiques liés au VIH qui constituent des barrières d’accès aux services</w:t>
            </w:r>
          </w:p>
          <w:p w14:paraId="42D20A61" w14:textId="43510CC0" w:rsidR="00AC5FC3" w:rsidRPr="00AC5FC3" w:rsidRDefault="00AC5FC3" w:rsidP="00AC5FC3">
            <w:pPr>
              <w:pStyle w:val="liste1"/>
              <w:rPr>
                <w:rFonts w:eastAsiaTheme="minorHAnsi"/>
                <w:lang w:bidi="fr-FR"/>
              </w:rPr>
            </w:pPr>
            <w:r>
              <w:rPr>
                <w:lang w:eastAsia="zh-CN"/>
              </w:rPr>
              <w:t>A</w:t>
            </w:r>
            <w:r w:rsidR="00CD235A">
              <w:rPr>
                <w:lang w:eastAsia="zh-CN"/>
              </w:rPr>
              <w:t>ccroitre la lutte contre la stigmatisation, la discrimination</w:t>
            </w:r>
            <w:r w:rsidR="009E331B">
              <w:rPr>
                <w:lang w:eastAsia="zh-CN"/>
              </w:rPr>
              <w:t xml:space="preserve">, notamment en milieu de soin, </w:t>
            </w:r>
            <w:r w:rsidR="00CD235A">
              <w:rPr>
                <w:lang w:eastAsia="zh-CN"/>
              </w:rPr>
              <w:t>et les inégalités de genre</w:t>
            </w:r>
            <w:r w:rsidR="009E331B">
              <w:rPr>
                <w:lang w:eastAsia="zh-CN"/>
              </w:rPr>
              <w:t>.</w:t>
            </w:r>
          </w:p>
          <w:p w14:paraId="3CAC27A7" w14:textId="6BCF050C" w:rsidR="00450524" w:rsidRDefault="00450524" w:rsidP="00450524">
            <w:pPr>
              <w:pStyle w:val="Texteformulaire"/>
            </w:pPr>
            <w:proofErr w:type="spellStart"/>
            <w:r>
              <w:t>En</w:t>
            </w:r>
            <w:proofErr w:type="spellEnd"/>
            <w:r>
              <w:t xml:space="preserve"> matière de coordination et leadership, </w:t>
            </w:r>
            <w:proofErr w:type="spellStart"/>
            <w:r>
              <w:t>l’analyse</w:t>
            </w:r>
            <w:proofErr w:type="spellEnd"/>
            <w:r>
              <w:t xml:space="preserve"> </w:t>
            </w:r>
            <w:proofErr w:type="spellStart"/>
            <w:r>
              <w:t>situationnelle</w:t>
            </w:r>
            <w:proofErr w:type="spellEnd"/>
            <w:r w:rsidRPr="00AA3978">
              <w:t xml:space="preserve"> </w:t>
            </w:r>
            <w:r>
              <w:t xml:space="preserve">de la contribution des OSC aux 90-90-90 et la </w:t>
            </w:r>
            <w:proofErr w:type="spellStart"/>
            <w:r>
              <w:t>cartographie</w:t>
            </w:r>
            <w:proofErr w:type="spellEnd"/>
            <w:r>
              <w:t xml:space="preserve"> des OSC </w:t>
            </w:r>
            <w:proofErr w:type="spellStart"/>
            <w:r>
              <w:t>réalisée</w:t>
            </w:r>
            <w:proofErr w:type="spellEnd"/>
            <w:r>
              <w:t xml:space="preserve"> à </w:t>
            </w:r>
            <w:proofErr w:type="spellStart"/>
            <w:r>
              <w:t>cet</w:t>
            </w:r>
            <w:proofErr w:type="spellEnd"/>
            <w:r>
              <w:t xml:space="preserve"> </w:t>
            </w:r>
            <w:proofErr w:type="spellStart"/>
            <w:r>
              <w:t>effet</w:t>
            </w:r>
            <w:proofErr w:type="spellEnd"/>
            <w:r>
              <w:t xml:space="preserve"> </w:t>
            </w:r>
            <w:proofErr w:type="spellStart"/>
            <w:r>
              <w:t>en</w:t>
            </w:r>
            <w:proofErr w:type="spellEnd"/>
            <w:r>
              <w:t xml:space="preserve"> 2019 </w:t>
            </w:r>
            <w:proofErr w:type="spellStart"/>
            <w:r>
              <w:t>ont</w:t>
            </w:r>
            <w:proofErr w:type="spellEnd"/>
            <w:r>
              <w:t xml:space="preserve"> </w:t>
            </w:r>
            <w:proofErr w:type="spellStart"/>
            <w:r>
              <w:t>montré</w:t>
            </w:r>
            <w:proofErr w:type="spellEnd"/>
            <w:r>
              <w:t xml:space="preserve"> des </w:t>
            </w:r>
            <w:proofErr w:type="spellStart"/>
            <w:r>
              <w:t>défis</w:t>
            </w:r>
            <w:proofErr w:type="spellEnd"/>
            <w:r>
              <w:t xml:space="preserve"> </w:t>
            </w:r>
            <w:proofErr w:type="spellStart"/>
            <w:r>
              <w:t>importants</w:t>
            </w:r>
            <w:proofErr w:type="spellEnd"/>
            <w:r>
              <w:t xml:space="preserve"> (cf. plus haut, section 1.2). La mise </w:t>
            </w:r>
            <w:proofErr w:type="spellStart"/>
            <w:r>
              <w:t>en</w:t>
            </w:r>
            <w:proofErr w:type="spellEnd"/>
            <w:r>
              <w:t xml:space="preserve"> oeuvre du NFM2 a </w:t>
            </w:r>
            <w:proofErr w:type="spellStart"/>
            <w:r>
              <w:t>permis</w:t>
            </w:r>
            <w:proofErr w:type="spellEnd"/>
            <w:r>
              <w:t xml:space="preserve"> de</w:t>
            </w:r>
            <w:r w:rsidR="009E331B">
              <w:t xml:space="preserve"> </w:t>
            </w:r>
            <w:proofErr w:type="spellStart"/>
            <w:r w:rsidR="009E331B">
              <w:t>tirer</w:t>
            </w:r>
            <w:proofErr w:type="spellEnd"/>
            <w:r w:rsidR="009E331B">
              <w:t xml:space="preserve"> les </w:t>
            </w:r>
            <w:proofErr w:type="spellStart"/>
            <w:r w:rsidR="009E331B">
              <w:t>enseignements</w:t>
            </w:r>
            <w:proofErr w:type="spellEnd"/>
            <w:r w:rsidR="009E331B">
              <w:t xml:space="preserve"> </w:t>
            </w:r>
            <w:proofErr w:type="spellStart"/>
            <w:proofErr w:type="gramStart"/>
            <w:r w:rsidR="009E331B">
              <w:t>suivants</w:t>
            </w:r>
            <w:proofErr w:type="spellEnd"/>
            <w:r>
              <w:t xml:space="preserve"> :</w:t>
            </w:r>
            <w:proofErr w:type="gramEnd"/>
          </w:p>
          <w:p w14:paraId="337A1433" w14:textId="4D8CA663" w:rsidR="00450524" w:rsidRDefault="005725D3" w:rsidP="00450524">
            <w:pPr>
              <w:pStyle w:val="liste1"/>
              <w:rPr>
                <w:lang w:eastAsia="zh-CN"/>
              </w:rPr>
            </w:pPr>
            <w:r>
              <w:t>Par rapport au</w:t>
            </w:r>
            <w:r w:rsidR="00450524">
              <w:t xml:space="preserve"> déficit de</w:t>
            </w:r>
            <w:r w:rsidR="00450524" w:rsidRPr="0042570E">
              <w:t xml:space="preserve"> coordination des interventions des OSC par les instances techniques du MSHP tant au niveau central que décentralisé</w:t>
            </w:r>
            <w:r>
              <w:t>,</w:t>
            </w:r>
            <w:r w:rsidR="00450524" w:rsidRPr="0042570E">
              <w:t xml:space="preserve"> </w:t>
            </w:r>
            <w:r w:rsidR="009E331B">
              <w:t xml:space="preserve">Alliance Côte d’Ivoire </w:t>
            </w:r>
            <w:r>
              <w:t xml:space="preserve">a développé une </w:t>
            </w:r>
            <w:r w:rsidR="009E331B">
              <w:t>collabor</w:t>
            </w:r>
            <w:r>
              <w:t>ation</w:t>
            </w:r>
            <w:r w:rsidR="009E331B">
              <w:t xml:space="preserve"> </w:t>
            </w:r>
            <w:r w:rsidR="009E331B">
              <w:lastRenderedPageBreak/>
              <w:t>active avec la DSC en ce qui concerne l’intégration des acteurs communautaires sur le terrain (ASC et</w:t>
            </w:r>
            <w:r>
              <w:t xml:space="preserve"> conseillers </w:t>
            </w:r>
            <w:proofErr w:type="spellStart"/>
            <w:r>
              <w:t>compmmunautaires</w:t>
            </w:r>
            <w:proofErr w:type="spellEnd"/>
            <w:r>
              <w:t xml:space="preserve"> des OBC)</w:t>
            </w:r>
          </w:p>
          <w:p w14:paraId="6D65BCE5" w14:textId="237285D9" w:rsidR="00450524" w:rsidRDefault="005725D3" w:rsidP="00450524">
            <w:pPr>
              <w:pStyle w:val="liste1"/>
              <w:rPr>
                <w:lang w:eastAsia="zh-CN"/>
              </w:rPr>
            </w:pPr>
            <w:r>
              <w:t>Par rapport à la f</w:t>
            </w:r>
            <w:r w:rsidR="00450524" w:rsidRPr="0042570E">
              <w:t xml:space="preserve">aible collaboration et complémentarité entre </w:t>
            </w:r>
            <w:r w:rsidR="00450524">
              <w:t xml:space="preserve">les </w:t>
            </w:r>
            <w:r w:rsidR="00450524" w:rsidRPr="0042570E">
              <w:t>acteurs communautaires</w:t>
            </w:r>
            <w:r w:rsidR="00450524">
              <w:t xml:space="preserve"> eux-mêmes</w:t>
            </w:r>
            <w:r w:rsidR="00450524" w:rsidRPr="0042570E">
              <w:t>, et entre acteurs communautaires et formations sanitaires</w:t>
            </w:r>
            <w:r>
              <w:t>, d’importants efforts ont porté sur la coordination avec les interventions financées par le PEPFAR sur le terrain</w:t>
            </w:r>
          </w:p>
          <w:p w14:paraId="730C8B42" w14:textId="4BA5CABF" w:rsidR="00450524" w:rsidRDefault="000525BF" w:rsidP="00450524">
            <w:pPr>
              <w:pStyle w:val="liste1"/>
              <w:rPr>
                <w:lang w:eastAsia="zh-CN"/>
              </w:rPr>
            </w:pPr>
            <w:r>
              <w:t>Face à l’</w:t>
            </w:r>
            <w:r w:rsidR="00450524" w:rsidRPr="0042570E">
              <w:t>absence d’un dispositif clair de coordination entre les OSC malgré l’existence de r</w:t>
            </w:r>
            <w:r w:rsidR="005725D3">
              <w:t>é</w:t>
            </w:r>
            <w:r w:rsidR="00450524" w:rsidRPr="0042570E">
              <w:t>seaux et faitières</w:t>
            </w:r>
            <w:r>
              <w:t>, l’organisation des OSC au sein d’une plateforme des OSC en santé cherche à renforcer le leadership des acteurs communautaires dans la réponse au VIH/sida</w:t>
            </w:r>
          </w:p>
          <w:p w14:paraId="43475CBC" w14:textId="7AF3D36E" w:rsidR="00450524" w:rsidRDefault="00450524" w:rsidP="00450524">
            <w:pPr>
              <w:pStyle w:val="liste1"/>
              <w:rPr>
                <w:lang w:eastAsia="zh-CN"/>
              </w:rPr>
            </w:pPr>
            <w:r>
              <w:t>L</w:t>
            </w:r>
            <w:r w:rsidRPr="0042570E">
              <w:t xml:space="preserve">’absence d’un dispositif clair de contractualisation entre les OSC et les formations sanitaires </w:t>
            </w:r>
            <w:r w:rsidR="00A63E6B">
              <w:t>grève les résultats sur le terrain</w:t>
            </w:r>
          </w:p>
          <w:p w14:paraId="5A2B1EF8" w14:textId="29B180CD" w:rsidR="002865C3" w:rsidRPr="00880C3E" w:rsidRDefault="00450524" w:rsidP="00390EA4">
            <w:pPr>
              <w:pStyle w:val="liste1"/>
              <w:rPr>
                <w:lang w:eastAsia="zh-CN"/>
              </w:rPr>
            </w:pPr>
            <w:r>
              <w:t>L’absence d’intégration</w:t>
            </w:r>
            <w:r w:rsidRPr="0042570E">
              <w:t xml:space="preserve"> </w:t>
            </w:r>
            <w:r>
              <w:t xml:space="preserve">des </w:t>
            </w:r>
            <w:r w:rsidRPr="0042570E">
              <w:t>données communautaires dans le système d’information sanitaire, qui ne permet pas de prendre en compte l’exhaustivité des contributions communautaires</w:t>
            </w:r>
            <w:r>
              <w:t xml:space="preserve"> ; </w:t>
            </w:r>
            <w:r>
              <w:rPr>
                <w:rFonts w:eastAsia="SimSun"/>
                <w:lang w:eastAsia="zh-CN"/>
              </w:rPr>
              <w:t>Alliance Côte d’Ivoire</w:t>
            </w:r>
            <w:r>
              <w:t xml:space="preserve"> est maintenant impliquée dans une collaboration durable avec la DIIS pour intégrer ces données communautaires dans la DHIS-2.</w:t>
            </w:r>
          </w:p>
          <w:p w14:paraId="63B403F5" w14:textId="2D6BFCA6" w:rsidR="00546000" w:rsidRPr="00750CA9" w:rsidRDefault="00546000" w:rsidP="00390EA4">
            <w:pPr>
              <w:pStyle w:val="Texteformulaire"/>
              <w:rPr>
                <w:lang w:val="fr-FR"/>
              </w:rPr>
            </w:pPr>
          </w:p>
        </w:tc>
      </w:tr>
    </w:tbl>
    <w:p w14:paraId="7156D3D6" w14:textId="7AEA2026" w:rsidR="00A321C0" w:rsidRPr="00E80CEF" w:rsidRDefault="00A321C0" w:rsidP="009B6C0D">
      <w:pPr>
        <w:spacing w:after="0" w:line="0" w:lineRule="auto"/>
        <w:rPr>
          <w:strike/>
        </w:rPr>
      </w:pPr>
    </w:p>
    <w:p w14:paraId="053858ED" w14:textId="26689DCC" w:rsidR="00F53018" w:rsidRPr="00546000" w:rsidRDefault="00F53018" w:rsidP="009B6C0D">
      <w:pPr>
        <w:spacing w:after="0" w:line="0" w:lineRule="auto"/>
      </w:pPr>
      <w:r w:rsidRPr="00E80CEF">
        <w:br w:type="page"/>
      </w:r>
    </w:p>
    <w:p w14:paraId="32836519" w14:textId="4853758A" w:rsidR="0098274C" w:rsidRPr="00D236CA" w:rsidRDefault="009B6C0D" w:rsidP="00390EA4">
      <w:pPr>
        <w:pStyle w:val="Heading1"/>
        <w:spacing w:before="0"/>
        <w:ind w:left="567" w:hanging="567"/>
      </w:pPr>
      <w:r>
        <w:lastRenderedPageBreak/>
        <w:t>Section 2 : Demande de financement et hiérarchisation</w:t>
      </w:r>
    </w:p>
    <w:p w14:paraId="30899E89" w14:textId="77777777" w:rsidR="009B6C0D" w:rsidRPr="00D236CA" w:rsidRDefault="009B6C0D" w:rsidP="009B6C0D">
      <w:pPr>
        <w:spacing w:after="0"/>
      </w:pPr>
    </w:p>
    <w:p w14:paraId="307312A3" w14:textId="78EB263C" w:rsidR="00250AD1" w:rsidRPr="00750CA9" w:rsidRDefault="000D3875" w:rsidP="009B6C0D">
      <w:pPr>
        <w:spacing w:after="0"/>
        <w:rPr>
          <w:rFonts w:ascii="Arial" w:hAnsi="Arial"/>
          <w:sz w:val="22"/>
        </w:rPr>
      </w:pPr>
      <w:r>
        <w:t xml:space="preserve">Pour répondre aux questions ci-dessous, se référer aux </w:t>
      </w:r>
      <w:r>
        <w:rPr>
          <w:i/>
        </w:rPr>
        <w:t xml:space="preserve">Instructions </w:t>
      </w:r>
      <w:r>
        <w:t xml:space="preserve">ainsi qu’aux documents stratégiques nationaux, </w:t>
      </w:r>
      <w:r>
        <w:rPr>
          <w:b/>
        </w:rPr>
        <w:t>aux tableaux de lacunes programmatiques, aux tableaux du paysage de financement, au cadre de résultats, aux tableaux du budget et aux tableaux des données essentielles</w:t>
      </w:r>
      <w:r>
        <w:t xml:space="preserve">. </w:t>
      </w:r>
    </w:p>
    <w:p w14:paraId="239767A8" w14:textId="77777777" w:rsidR="00DE1608" w:rsidRPr="00D236CA" w:rsidRDefault="00DE1608" w:rsidP="009B6C0D">
      <w:pPr>
        <w:spacing w:after="0"/>
      </w:pPr>
    </w:p>
    <w:p w14:paraId="6CE2E43A" w14:textId="15C7E2D2" w:rsidR="0098274C" w:rsidRPr="00E80CEF" w:rsidRDefault="009B6C0D" w:rsidP="00390EA4">
      <w:pPr>
        <w:pStyle w:val="Heading2"/>
        <w:shd w:val="clear" w:color="auto" w:fill="D9D9D9" w:themeFill="background1" w:themeFillShade="D9"/>
        <w:spacing w:before="0"/>
        <w:ind w:left="567" w:hanging="567"/>
        <w:contextualSpacing/>
      </w:pPr>
      <w:r>
        <w:t>2.1 Présentation des priorités de financement</w:t>
      </w:r>
    </w:p>
    <w:p w14:paraId="12976D40" w14:textId="77777777" w:rsidR="009B6C0D" w:rsidRPr="00D236CA" w:rsidRDefault="009B6C0D" w:rsidP="009B6C0D">
      <w:pPr>
        <w:spacing w:after="0" w:line="260" w:lineRule="atLeast"/>
      </w:pPr>
    </w:p>
    <w:p w14:paraId="5EC0BBC9" w14:textId="5646E260" w:rsidR="005D2909" w:rsidRDefault="00CA301B" w:rsidP="009B6C0D">
      <w:pPr>
        <w:spacing w:after="0" w:line="260" w:lineRule="atLeast"/>
        <w:rPr>
          <w:rFonts w:ascii="Arial" w:eastAsiaTheme="minorHAnsi" w:hAnsi="Arial"/>
          <w:bCs/>
          <w:iCs/>
          <w:sz w:val="22"/>
          <w:szCs w:val="22"/>
          <w:lang w:val="en-US"/>
        </w:rPr>
      </w:pPr>
      <w:r>
        <w:t xml:space="preserve">Résumer la </w:t>
      </w:r>
      <w:r>
        <w:rPr>
          <w:b/>
        </w:rPr>
        <w:t>démarche employée pour hiérarchiser</w:t>
      </w:r>
      <w:r>
        <w:t xml:space="preserve"> les modules et les interventions (ou dans le cas d’une modalité de paiement en fonction des résultats, les indicateurs de résultats ou les jalons). La réponse doit inclure :</w:t>
      </w:r>
    </w:p>
    <w:p w14:paraId="78676A91" w14:textId="77777777" w:rsidR="009B6C0D" w:rsidRPr="004F1255" w:rsidRDefault="009B6C0D" w:rsidP="009B6C0D">
      <w:pPr>
        <w:spacing w:after="0" w:line="260" w:lineRule="atLeast"/>
      </w:pPr>
    </w:p>
    <w:p w14:paraId="2D65B2FA" w14:textId="024C820E" w:rsidR="004F1255" w:rsidRPr="00D236CA" w:rsidRDefault="006D0956" w:rsidP="00A140D5">
      <w:pPr>
        <w:pStyle w:val="ListParagraph"/>
        <w:numPr>
          <w:ilvl w:val="0"/>
          <w:numId w:val="21"/>
        </w:numPr>
        <w:spacing w:after="0" w:line="260" w:lineRule="atLeast"/>
        <w:ind w:left="720" w:hanging="270"/>
      </w:pPr>
      <w:proofErr w:type="gramStart"/>
      <w:r w:rsidRPr="00E80CEF">
        <w:t>la</w:t>
      </w:r>
      <w:proofErr w:type="gramEnd"/>
      <w:r w:rsidRPr="00E80CEF">
        <w:t xml:space="preserve"> façon dont ces modules prioritaires garantissent l’impact le plus fort possible dans l’optique de mettre fin aux épidémies de VIH, de tuberculose et de paludisme ;</w:t>
      </w:r>
    </w:p>
    <w:p w14:paraId="344FE4F1" w14:textId="0865537C" w:rsidR="00FD28F4" w:rsidRPr="00D236CA" w:rsidRDefault="006D0956" w:rsidP="00A140D5">
      <w:pPr>
        <w:pStyle w:val="ListParagraph"/>
        <w:numPr>
          <w:ilvl w:val="0"/>
          <w:numId w:val="21"/>
        </w:numPr>
        <w:spacing w:after="0" w:line="260" w:lineRule="atLeast"/>
        <w:ind w:left="720" w:hanging="270"/>
      </w:pPr>
      <w:proofErr w:type="gramStart"/>
      <w:r>
        <w:t>la</w:t>
      </w:r>
      <w:proofErr w:type="gramEnd"/>
      <w:r>
        <w:t xml:space="preserve"> façon dont les difficultés, les obstacles et les inégalités, notamment ceux liés aux droits </w:t>
      </w:r>
      <w:r w:rsidR="00752DFC">
        <w:t>humains</w:t>
      </w:r>
      <w:r>
        <w:t xml:space="preserve"> et au genre, sont traités par les modules prioritaires de la présente demande de financement.</w:t>
      </w:r>
    </w:p>
    <w:p w14:paraId="0636ABAF" w14:textId="77777777" w:rsidR="00FD28F4" w:rsidRPr="00D236CA" w:rsidRDefault="00FD28F4" w:rsidP="009B6C0D">
      <w:pPr>
        <w:pStyle w:val="ListParagraph"/>
        <w:spacing w:after="0" w:line="260" w:lineRule="atLeast"/>
      </w:pPr>
    </w:p>
    <w:tbl>
      <w:tblPr>
        <w:tblStyle w:val="TableGrid"/>
        <w:tblW w:w="0" w:type="auto"/>
        <w:tblLook w:val="04A0" w:firstRow="1" w:lastRow="0" w:firstColumn="1" w:lastColumn="0" w:noHBand="0" w:noVBand="1"/>
      </w:tblPr>
      <w:tblGrid>
        <w:gridCol w:w="10456"/>
      </w:tblGrid>
      <w:tr w:rsidR="00FD28F4" w:rsidRPr="00F00BB3" w14:paraId="4833B938" w14:textId="77777777" w:rsidTr="00D63E4B">
        <w:tc>
          <w:tcPr>
            <w:tcW w:w="10790" w:type="dxa"/>
          </w:tcPr>
          <w:p w14:paraId="6D5CA8F7" w14:textId="77777777" w:rsidR="004E7FC0" w:rsidRDefault="00A67F18" w:rsidP="00A67F18">
            <w:pPr>
              <w:pStyle w:val="Texteformulaire"/>
              <w:rPr>
                <w:lang w:val="fr-FR"/>
              </w:rPr>
            </w:pPr>
            <w:r w:rsidRPr="00390EA4">
              <w:rPr>
                <w:lang w:val="fr-FR"/>
              </w:rPr>
              <w:t xml:space="preserve">L’approche de priorisation transversale proposée a été essentielle. Elle a été alimentée par la revue et l’analyse de l’épidémiologie et de la réponse au VIH/sida, de même qu’elle a permis de formuler des recommandations issues de cette revue pour orienter l’action. </w:t>
            </w:r>
          </w:p>
          <w:p w14:paraId="6E2D4446" w14:textId="180DE234" w:rsidR="003C3476" w:rsidRDefault="00A67F18" w:rsidP="00A67F18">
            <w:pPr>
              <w:pStyle w:val="Texteformulaire"/>
              <w:rPr>
                <w:lang w:val="fr-FR"/>
              </w:rPr>
            </w:pPr>
            <w:r w:rsidRPr="00390EA4">
              <w:rPr>
                <w:lang w:val="fr-FR"/>
              </w:rPr>
              <w:t>Cette approche de priorisation a permis le développement du Plan Stratégique</w:t>
            </w:r>
            <w:r w:rsidR="0002374C">
              <w:rPr>
                <w:lang w:val="fr-FR"/>
              </w:rPr>
              <w:t xml:space="preserve"> National</w:t>
            </w:r>
            <w:r w:rsidRPr="00390EA4">
              <w:rPr>
                <w:lang w:val="fr-FR"/>
              </w:rPr>
              <w:t xml:space="preserve"> VIH 2021-2025</w:t>
            </w:r>
            <w:r w:rsidR="00BC6D5F">
              <w:rPr>
                <w:lang w:val="fr-FR"/>
              </w:rPr>
              <w:t xml:space="preserve"> </w:t>
            </w:r>
            <w:r w:rsidR="0002374C" w:rsidRPr="00084F75">
              <w:rPr>
                <w:i/>
                <w:iCs/>
                <w:lang w:val="fr-FR"/>
              </w:rPr>
              <w:t xml:space="preserve">(Annexe </w:t>
            </w:r>
            <w:r w:rsidR="0002374C">
              <w:rPr>
                <w:i/>
                <w:iCs/>
                <w:lang w:val="fr-FR"/>
              </w:rPr>
              <w:t>3</w:t>
            </w:r>
            <w:r w:rsidR="0002374C" w:rsidRPr="00084F75">
              <w:rPr>
                <w:i/>
                <w:iCs/>
                <w:lang w:val="fr-FR"/>
              </w:rPr>
              <w:t>)</w:t>
            </w:r>
            <w:r w:rsidRPr="00BC6D5F">
              <w:rPr>
                <w:color w:val="0070C0"/>
                <w:lang w:val="fr-FR"/>
              </w:rPr>
              <w:t xml:space="preserve"> </w:t>
            </w:r>
            <w:r w:rsidRPr="00390EA4">
              <w:rPr>
                <w:lang w:val="fr-FR"/>
              </w:rPr>
              <w:t xml:space="preserve">(développement du cadre de résultat, sélection des stratégies et interventions) et a présidé à la démarche d’élaboration de cette nouvelle demande de subvention au Fonds mondial pour le cycle 2021-2023. </w:t>
            </w:r>
          </w:p>
          <w:p w14:paraId="038D847E" w14:textId="213C9485" w:rsidR="004E7FC0" w:rsidRPr="00750CA9" w:rsidRDefault="004E7FC0" w:rsidP="00C63FFC">
            <w:pPr>
              <w:pStyle w:val="Texteformulaire"/>
              <w:rPr>
                <w:lang w:val="fr-FR"/>
              </w:rPr>
            </w:pPr>
            <w:r w:rsidRPr="00750CA9">
              <w:rPr>
                <w:lang w:val="fr-FR"/>
              </w:rPr>
              <w:t xml:space="preserve">Le rapport de modélisation de l’épidémie VIH produit par Avenir Health </w:t>
            </w:r>
            <w:r w:rsidR="004070BB" w:rsidRPr="00750CA9">
              <w:rPr>
                <w:lang w:val="fr-FR"/>
              </w:rPr>
              <w:t>en mars 2020</w:t>
            </w:r>
            <w:r w:rsidR="00BC6D5F">
              <w:rPr>
                <w:lang w:val="fr-FR"/>
              </w:rPr>
              <w:t xml:space="preserve"> </w:t>
            </w:r>
            <w:r w:rsidR="0002374C" w:rsidRPr="00084F75">
              <w:rPr>
                <w:i/>
                <w:iCs/>
                <w:lang w:val="fr-FR"/>
              </w:rPr>
              <w:t xml:space="preserve">(Annexe </w:t>
            </w:r>
            <w:r w:rsidR="0002374C">
              <w:rPr>
                <w:i/>
                <w:iCs/>
                <w:lang w:val="fr-FR"/>
              </w:rPr>
              <w:t>23</w:t>
            </w:r>
            <w:r w:rsidR="0002374C" w:rsidRPr="00084F75">
              <w:rPr>
                <w:i/>
                <w:iCs/>
                <w:lang w:val="fr-FR"/>
              </w:rPr>
              <w:t>)</w:t>
            </w:r>
            <w:r w:rsidR="004070BB" w:rsidRPr="00750CA9">
              <w:rPr>
                <w:lang w:val="fr-FR"/>
              </w:rPr>
              <w:t xml:space="preserve">, qui a utilisé </w:t>
            </w:r>
            <w:r w:rsidRPr="00750CA9">
              <w:rPr>
                <w:lang w:val="fr-FR"/>
              </w:rPr>
              <w:t>le logiciel GOALS</w:t>
            </w:r>
            <w:r w:rsidR="004070BB" w:rsidRPr="00750CA9">
              <w:rPr>
                <w:lang w:val="fr-FR"/>
              </w:rPr>
              <w:t>,</w:t>
            </w:r>
            <w:r w:rsidRPr="00750CA9">
              <w:rPr>
                <w:lang w:val="fr-FR"/>
              </w:rPr>
              <w:t xml:space="preserve"> a alimenté la réflexion en matière de priorisation des modules, interventions prioritaires et activité</w:t>
            </w:r>
            <w:r w:rsidR="004070BB" w:rsidRPr="00750CA9">
              <w:rPr>
                <w:lang w:val="fr-FR"/>
              </w:rPr>
              <w:t>s. L</w:t>
            </w:r>
            <w:r w:rsidRPr="00750CA9">
              <w:rPr>
                <w:lang w:val="fr-FR"/>
              </w:rPr>
              <w:t>es analyses produites</w:t>
            </w:r>
            <w:r w:rsidR="004070BB" w:rsidRPr="00750CA9">
              <w:rPr>
                <w:lang w:val="fr-FR"/>
              </w:rPr>
              <w:t xml:space="preserve"> ont orienté </w:t>
            </w:r>
            <w:r w:rsidRPr="00D27806">
              <w:rPr>
                <w:lang w:val="fr-FR"/>
              </w:rPr>
              <w:t xml:space="preserve">la hiérarchisation des priorités puisque </w:t>
            </w:r>
            <w:r w:rsidR="004070BB">
              <w:rPr>
                <w:lang w:val="fr-FR"/>
              </w:rPr>
              <w:t>la modélisation</w:t>
            </w:r>
            <w:r w:rsidRPr="00D27806">
              <w:rPr>
                <w:lang w:val="fr-FR"/>
              </w:rPr>
              <w:t xml:space="preserve"> a fourni des estimations d</w:t>
            </w:r>
            <w:r w:rsidR="004070BB">
              <w:rPr>
                <w:lang w:val="fr-FR"/>
              </w:rPr>
              <w:t>es</w:t>
            </w:r>
            <w:r w:rsidRPr="00D27806">
              <w:rPr>
                <w:lang w:val="fr-FR"/>
              </w:rPr>
              <w:t xml:space="preserve"> rapport</w:t>
            </w:r>
            <w:r w:rsidR="004070BB">
              <w:rPr>
                <w:lang w:val="fr-FR"/>
              </w:rPr>
              <w:t>s</w:t>
            </w:r>
            <w:r w:rsidRPr="00D27806">
              <w:rPr>
                <w:lang w:val="fr-FR"/>
              </w:rPr>
              <w:t xml:space="preserve"> coût-efficacité</w:t>
            </w:r>
            <w:r w:rsidR="004070BB">
              <w:rPr>
                <w:lang w:val="fr-FR"/>
              </w:rPr>
              <w:t xml:space="preserve"> des principales interventions de prévention et de prise en charge</w:t>
            </w:r>
            <w:r w:rsidRPr="00750CA9">
              <w:rPr>
                <w:lang w:val="fr-FR"/>
              </w:rPr>
              <w:t>.</w:t>
            </w:r>
          </w:p>
          <w:p w14:paraId="4D06970F" w14:textId="7C7C809D" w:rsidR="00A67F18" w:rsidRPr="00390EA4" w:rsidRDefault="004070BB" w:rsidP="00A67F18">
            <w:pPr>
              <w:pStyle w:val="Texteformulaire"/>
              <w:rPr>
                <w:lang w:val="fr-FR"/>
              </w:rPr>
            </w:pPr>
            <w:r>
              <w:rPr>
                <w:lang w:val="fr-FR"/>
              </w:rPr>
              <w:t>Au total, l</w:t>
            </w:r>
            <w:r w:rsidR="00A67F18" w:rsidRPr="00390EA4">
              <w:rPr>
                <w:lang w:val="fr-FR"/>
              </w:rPr>
              <w:t xml:space="preserve">es critères </w:t>
            </w:r>
            <w:r>
              <w:rPr>
                <w:lang w:val="fr-FR"/>
              </w:rPr>
              <w:t xml:space="preserve">de priorisation </w:t>
            </w:r>
            <w:r w:rsidR="00A67F18" w:rsidRPr="00390EA4">
              <w:rPr>
                <w:lang w:val="fr-FR"/>
              </w:rPr>
              <w:t xml:space="preserve">utilisés </w:t>
            </w:r>
            <w:r w:rsidR="000F1326">
              <w:rPr>
                <w:lang w:val="fr-FR"/>
              </w:rPr>
              <w:t>pour le</w:t>
            </w:r>
            <w:r w:rsidR="000F1326">
              <w:t xml:space="preserve"> PSN </w:t>
            </w:r>
            <w:r w:rsidR="00A67F18" w:rsidRPr="00390EA4">
              <w:rPr>
                <w:lang w:val="fr-FR"/>
              </w:rPr>
              <w:t>sont rappelés ci-dessous</w:t>
            </w:r>
            <w:r w:rsidR="003C3476" w:rsidRPr="00390EA4">
              <w:rPr>
                <w:lang w:val="fr-FR"/>
              </w:rPr>
              <w:t> :</w:t>
            </w:r>
          </w:p>
          <w:p w14:paraId="07A3DB84" w14:textId="77777777" w:rsidR="003C3476" w:rsidRPr="00A67F18" w:rsidRDefault="003C3476" w:rsidP="003C3476">
            <w:pPr>
              <w:pStyle w:val="liste1"/>
            </w:pPr>
            <w:r w:rsidRPr="00A67F18">
              <w:t xml:space="preserve">L’évidence épidémiologique VIH : </w:t>
            </w:r>
          </w:p>
          <w:p w14:paraId="54AFEDAD" w14:textId="77777777" w:rsidR="003C3476" w:rsidRDefault="003C3476" w:rsidP="006F6940">
            <w:pPr>
              <w:pStyle w:val="liste1"/>
              <w:numPr>
                <w:ilvl w:val="1"/>
                <w:numId w:val="36"/>
              </w:numPr>
            </w:pPr>
            <w:proofErr w:type="gramStart"/>
            <w:r w:rsidRPr="00A67F18">
              <w:t>à</w:t>
            </w:r>
            <w:proofErr w:type="gramEnd"/>
            <w:r w:rsidRPr="00A67F18">
              <w:t xml:space="preserve"> partir des données épidémiologiques triangulées, la prise en compte de la dynamique de l’épidémie au niveau de la population générale, des populations clés et des populations vulnérables</w:t>
            </w:r>
          </w:p>
          <w:p w14:paraId="104D0EC1" w14:textId="5F1E5A9B" w:rsidR="00FD28F4" w:rsidRDefault="003C3476" w:rsidP="006F6940">
            <w:pPr>
              <w:pStyle w:val="liste1"/>
              <w:numPr>
                <w:ilvl w:val="1"/>
                <w:numId w:val="36"/>
              </w:numPr>
            </w:pPr>
            <w:r w:rsidRPr="003C3476">
              <w:t>A partir de l’estimation de l’incidence, parmi les populations clés et vulnérables, impact en termes de prévention, d’accès aux traitements</w:t>
            </w:r>
          </w:p>
          <w:p w14:paraId="108EC46B" w14:textId="77777777" w:rsidR="003C3476" w:rsidRPr="00A67F18" w:rsidRDefault="003C3476" w:rsidP="003C3476">
            <w:pPr>
              <w:pStyle w:val="liste1"/>
            </w:pPr>
            <w:r w:rsidRPr="00A67F18">
              <w:t>La réponse à l’épidémie :</w:t>
            </w:r>
          </w:p>
          <w:p w14:paraId="5F969689" w14:textId="77777777" w:rsidR="003C3476" w:rsidRDefault="003C3476" w:rsidP="006F6940">
            <w:pPr>
              <w:pStyle w:val="liste1"/>
              <w:numPr>
                <w:ilvl w:val="1"/>
                <w:numId w:val="36"/>
              </w:numPr>
            </w:pPr>
            <w:r w:rsidRPr="00A67F18">
              <w:t>Performances atteintes dans les stratégies prioritaires</w:t>
            </w:r>
          </w:p>
          <w:p w14:paraId="2A86CDB8" w14:textId="0F39C83D" w:rsidR="003C3476" w:rsidRDefault="004070BB" w:rsidP="006F6940">
            <w:pPr>
              <w:pStyle w:val="liste1"/>
              <w:numPr>
                <w:ilvl w:val="1"/>
                <w:numId w:val="36"/>
              </w:numPr>
            </w:pPr>
            <w:r>
              <w:t>R</w:t>
            </w:r>
            <w:r w:rsidR="003C3476" w:rsidRPr="003C3476">
              <w:t>obustesse du système et de l’organisation de la réponse communautaire</w:t>
            </w:r>
          </w:p>
          <w:p w14:paraId="15D1D34B" w14:textId="047BD7DD" w:rsidR="004070BB" w:rsidRDefault="004070BB" w:rsidP="006F6940">
            <w:pPr>
              <w:pStyle w:val="liste1"/>
              <w:numPr>
                <w:ilvl w:val="1"/>
                <w:numId w:val="36"/>
              </w:numPr>
            </w:pPr>
            <w:r>
              <w:t>Analyse coût-efficacité des interventions à travers la m</w:t>
            </w:r>
            <w:r w:rsidRPr="004070BB">
              <w:t>odélisation de l’épidémie VIH de Côte d’Ivoire par l’outil GOALS</w:t>
            </w:r>
          </w:p>
          <w:p w14:paraId="63638230" w14:textId="310674F3" w:rsidR="003C3476" w:rsidRPr="003C3476" w:rsidRDefault="003C3476" w:rsidP="003C3476">
            <w:pPr>
              <w:pStyle w:val="liste1"/>
            </w:pPr>
            <w:r w:rsidRPr="00A67F18">
              <w:t>Mise en œuvre des approches différenciées pour la prévention, le dépistage, la prise en charge du VIH, le suivi et le soutien des population cibles, à partir d’innovations</w:t>
            </w:r>
          </w:p>
          <w:p w14:paraId="6109C361" w14:textId="77777777" w:rsidR="003C3476" w:rsidRPr="00A67F18" w:rsidRDefault="003C3476" w:rsidP="003C3476">
            <w:pPr>
              <w:pStyle w:val="liste1"/>
            </w:pPr>
            <w:r w:rsidRPr="00A67F18">
              <w:t>Alignement sur les stratégies et politiques nationales notamment la stratégie nationale de la santé</w:t>
            </w:r>
          </w:p>
          <w:p w14:paraId="7EC26B9A" w14:textId="3259C75A" w:rsidR="00A67F18" w:rsidRDefault="003C3476" w:rsidP="003C3476">
            <w:pPr>
              <w:pStyle w:val="liste1"/>
            </w:pPr>
            <w:r w:rsidRPr="00A67F18">
              <w:t>Alignement sur les engagements internationaux (ODD, Fast-</w:t>
            </w:r>
            <w:proofErr w:type="spellStart"/>
            <w:r w:rsidRPr="00A67F18">
              <w:t>track</w:t>
            </w:r>
            <w:proofErr w:type="spellEnd"/>
            <w:r w:rsidRPr="00A67F18">
              <w:t xml:space="preserve">, directives OMS, Coalition Mondiale Prévention, </w:t>
            </w:r>
            <w:r w:rsidR="00F11F59">
              <w:t xml:space="preserve">Partenariat Mondial pour lutter contre toutes les formes de </w:t>
            </w:r>
            <w:proofErr w:type="spellStart"/>
            <w:r w:rsidR="00F11F59">
              <w:t>Disrcrimination</w:t>
            </w:r>
            <w:proofErr w:type="spellEnd"/>
            <w:r w:rsidR="00F11F59">
              <w:t xml:space="preserve"> </w:t>
            </w:r>
            <w:r w:rsidRPr="00A67F18">
              <w:t>etc.)</w:t>
            </w:r>
          </w:p>
          <w:p w14:paraId="7BE0BB3F" w14:textId="394197CB" w:rsidR="003705BA" w:rsidRPr="00750CA9" w:rsidRDefault="003705BA" w:rsidP="00C63FFC">
            <w:pPr>
              <w:pStyle w:val="Texteformulaire"/>
              <w:rPr>
                <w:lang w:val="fr-CH"/>
              </w:rPr>
            </w:pPr>
            <w:r w:rsidRPr="00750CA9">
              <w:rPr>
                <w:lang w:val="fr-FR"/>
              </w:rPr>
              <w:t xml:space="preserve">La combinaison des critères de priorisation géographiques (Districts Sanitaires et/ou villes), épidémiologiques (prévalence par âge, sexe, par DS et </w:t>
            </w:r>
            <w:proofErr w:type="spellStart"/>
            <w:r w:rsidRPr="00750CA9">
              <w:rPr>
                <w:lang w:val="fr-FR"/>
              </w:rPr>
              <w:t>KPs</w:t>
            </w:r>
            <w:proofErr w:type="spellEnd"/>
            <w:r w:rsidRPr="00750CA9">
              <w:rPr>
                <w:lang w:val="fr-FR"/>
              </w:rPr>
              <w:t xml:space="preserve"> ; incidence par âge, sexe, par DS et </w:t>
            </w:r>
            <w:proofErr w:type="spellStart"/>
            <w:r w:rsidRPr="00750CA9">
              <w:rPr>
                <w:lang w:val="fr-FR"/>
              </w:rPr>
              <w:t>KPs</w:t>
            </w:r>
            <w:proofErr w:type="spellEnd"/>
            <w:r w:rsidRPr="00750CA9">
              <w:rPr>
                <w:lang w:val="fr-FR"/>
              </w:rPr>
              <w:t>) et programmatiques (besoins non couverts en dépistage et traitement - cascade 1er 90 et 2ème 90, besoins non couverts en PTME) a permis de proposer le tableau synthétique suivant</w:t>
            </w:r>
            <w:r w:rsidR="008E2D03">
              <w:rPr>
                <w:lang w:val="fr-FR"/>
              </w:rPr>
              <w:t xml:space="preserve"> (voir document en annexe :</w:t>
            </w:r>
            <w:r w:rsidR="003A2E24">
              <w:rPr>
                <w:lang w:val="fr-FR"/>
              </w:rPr>
              <w:t xml:space="preserve"> « cartographies de priorisation </w:t>
            </w:r>
            <w:proofErr w:type="spellStart"/>
            <w:r w:rsidR="003A2E24">
              <w:rPr>
                <w:lang w:val="fr-FR"/>
              </w:rPr>
              <w:t>geographique</w:t>
            </w:r>
            <w:proofErr w:type="spellEnd"/>
            <w:r w:rsidR="003A2E24">
              <w:rPr>
                <w:lang w:val="fr-FR"/>
              </w:rPr>
              <w:t xml:space="preserve"> par domaine et population »)</w:t>
            </w:r>
            <w:r w:rsidRPr="00B07FA0">
              <w:rPr>
                <w:lang w:val="fr-FR"/>
              </w:rPr>
              <w:t>.</w:t>
            </w:r>
            <w:r w:rsidRPr="00750CA9">
              <w:rPr>
                <w:lang w:val="fr-FR"/>
              </w:rPr>
              <w:t xml:space="preserve"> </w:t>
            </w:r>
          </w:p>
          <w:p w14:paraId="3063FA43" w14:textId="37B46FFE" w:rsidR="000B2F82" w:rsidRPr="00553321" w:rsidRDefault="000B2F82" w:rsidP="00553321">
            <w:pPr>
              <w:pStyle w:val="Texteformulaire"/>
            </w:pPr>
            <w:r w:rsidRPr="00553321">
              <w:lastRenderedPageBreak/>
              <w:t xml:space="preserve">Une </w:t>
            </w:r>
            <w:proofErr w:type="spellStart"/>
            <w:r w:rsidRPr="00553321">
              <w:t>sélection</w:t>
            </w:r>
            <w:proofErr w:type="spellEnd"/>
            <w:r w:rsidRPr="00553321">
              <w:t xml:space="preserve"> attentive de </w:t>
            </w:r>
            <w:proofErr w:type="spellStart"/>
            <w:r w:rsidRPr="00553321">
              <w:t>l’ensemble</w:t>
            </w:r>
            <w:proofErr w:type="spellEnd"/>
            <w:r w:rsidRPr="00553321">
              <w:t xml:space="preserve"> des </w:t>
            </w:r>
            <w:proofErr w:type="spellStart"/>
            <w:r w:rsidRPr="00553321">
              <w:t>stratégies</w:t>
            </w:r>
            <w:proofErr w:type="spellEnd"/>
            <w:r w:rsidRPr="00553321">
              <w:t xml:space="preserve">, interventions et </w:t>
            </w:r>
            <w:proofErr w:type="spellStart"/>
            <w:r w:rsidRPr="00553321">
              <w:t>activités</w:t>
            </w:r>
            <w:proofErr w:type="spellEnd"/>
            <w:r w:rsidRPr="00553321">
              <w:t xml:space="preserve"> </w:t>
            </w:r>
            <w:proofErr w:type="spellStart"/>
            <w:r w:rsidRPr="00553321">
              <w:t>proposées</w:t>
            </w:r>
            <w:proofErr w:type="spellEnd"/>
            <w:r w:rsidRPr="00553321">
              <w:t xml:space="preserve"> </w:t>
            </w:r>
            <w:proofErr w:type="gramStart"/>
            <w:r w:rsidRPr="00553321">
              <w:t>a</w:t>
            </w:r>
            <w:proofErr w:type="gramEnd"/>
            <w:r w:rsidRPr="00553321">
              <w:t xml:space="preserve"> </w:t>
            </w:r>
            <w:proofErr w:type="spellStart"/>
            <w:r w:rsidRPr="00553321">
              <w:t>ainsi</w:t>
            </w:r>
            <w:proofErr w:type="spellEnd"/>
            <w:r w:rsidRPr="00553321">
              <w:t xml:space="preserve"> </w:t>
            </w:r>
            <w:proofErr w:type="spellStart"/>
            <w:r w:rsidRPr="00553321">
              <w:t>pu</w:t>
            </w:r>
            <w:proofErr w:type="spellEnd"/>
            <w:r w:rsidRPr="00553321">
              <w:t xml:space="preserve"> </w:t>
            </w:r>
            <w:proofErr w:type="spellStart"/>
            <w:r w:rsidRPr="00553321">
              <w:t>être</w:t>
            </w:r>
            <w:proofErr w:type="spellEnd"/>
            <w:r w:rsidRPr="00553321">
              <w:t xml:space="preserve"> </w:t>
            </w:r>
            <w:proofErr w:type="spellStart"/>
            <w:r w:rsidRPr="00553321">
              <w:t>réalisée</w:t>
            </w:r>
            <w:proofErr w:type="spellEnd"/>
            <w:r w:rsidRPr="00553321">
              <w:t xml:space="preserve"> </w:t>
            </w:r>
            <w:proofErr w:type="spellStart"/>
            <w:r w:rsidRPr="00553321">
              <w:t>en</w:t>
            </w:r>
            <w:proofErr w:type="spellEnd"/>
            <w:r w:rsidRPr="00553321">
              <w:t xml:space="preserve"> </w:t>
            </w:r>
            <w:proofErr w:type="spellStart"/>
            <w:r w:rsidRPr="00553321">
              <w:t>utilisant</w:t>
            </w:r>
            <w:proofErr w:type="spellEnd"/>
            <w:r w:rsidRPr="00553321">
              <w:t xml:space="preserve"> les </w:t>
            </w:r>
            <w:proofErr w:type="spellStart"/>
            <w:r w:rsidRPr="00553321">
              <w:t>critères</w:t>
            </w:r>
            <w:proofErr w:type="spellEnd"/>
            <w:r w:rsidRPr="00553321">
              <w:t xml:space="preserve"> de </w:t>
            </w:r>
            <w:proofErr w:type="spellStart"/>
            <w:r w:rsidRPr="00553321">
              <w:t>priorisation</w:t>
            </w:r>
            <w:proofErr w:type="spellEnd"/>
            <w:r w:rsidRPr="00553321">
              <w:t xml:space="preserve"> ci-dessus </w:t>
            </w:r>
            <w:proofErr w:type="spellStart"/>
            <w:r w:rsidRPr="00553321">
              <w:t>détaillés</w:t>
            </w:r>
            <w:proofErr w:type="spellEnd"/>
            <w:r w:rsidRPr="00553321">
              <w:t>.</w:t>
            </w:r>
          </w:p>
          <w:tbl>
            <w:tblPr>
              <w:tblStyle w:val="TableGrid"/>
              <w:tblW w:w="5000" w:type="pct"/>
              <w:tblLook w:val="04A0" w:firstRow="1" w:lastRow="0" w:firstColumn="1" w:lastColumn="0" w:noHBand="0" w:noVBand="1"/>
            </w:tblPr>
            <w:tblGrid>
              <w:gridCol w:w="1304"/>
              <w:gridCol w:w="1483"/>
              <w:gridCol w:w="6293"/>
              <w:gridCol w:w="1150"/>
            </w:tblGrid>
            <w:tr w:rsidR="003705BA" w:rsidRPr="004C0813" w14:paraId="2858FE79" w14:textId="77777777" w:rsidTr="00A63E6B">
              <w:tc>
                <w:tcPr>
                  <w:tcW w:w="637" w:type="pct"/>
                  <w:tcBorders>
                    <w:bottom w:val="nil"/>
                  </w:tcBorders>
                  <w:shd w:val="clear" w:color="auto" w:fill="D9D9D9" w:themeFill="background1" w:themeFillShade="D9"/>
                  <w:vAlign w:val="center"/>
                </w:tcPr>
                <w:p w14:paraId="777C555F" w14:textId="77777777" w:rsidR="003705BA" w:rsidRPr="004C0813" w:rsidRDefault="003705BA" w:rsidP="003705BA">
                  <w:pPr>
                    <w:rPr>
                      <w:rFonts w:cstheme="minorHAnsi"/>
                      <w:b/>
                      <w:bCs/>
                    </w:rPr>
                  </w:pPr>
                  <w:bookmarkStart w:id="11" w:name="_Hlk37791550"/>
                  <w:r w:rsidRPr="004C0813">
                    <w:rPr>
                      <w:rFonts w:cstheme="minorHAnsi"/>
                      <w:b/>
                      <w:bCs/>
                    </w:rPr>
                    <w:t xml:space="preserve">Domaine </w:t>
                  </w:r>
                </w:p>
              </w:tc>
              <w:tc>
                <w:tcPr>
                  <w:tcW w:w="725" w:type="pct"/>
                  <w:shd w:val="clear" w:color="auto" w:fill="D9D9D9" w:themeFill="background1" w:themeFillShade="D9"/>
                  <w:vAlign w:val="center"/>
                </w:tcPr>
                <w:p w14:paraId="77E41685" w14:textId="77777777" w:rsidR="003705BA" w:rsidRPr="004C0813" w:rsidRDefault="003705BA" w:rsidP="003705BA">
                  <w:pPr>
                    <w:rPr>
                      <w:rFonts w:cstheme="minorHAnsi"/>
                      <w:b/>
                      <w:bCs/>
                    </w:rPr>
                  </w:pPr>
                  <w:r w:rsidRPr="004C0813">
                    <w:rPr>
                      <w:rFonts w:cstheme="minorHAnsi"/>
                      <w:b/>
                      <w:bCs/>
                    </w:rPr>
                    <w:t>Pop clés et vulnérables</w:t>
                  </w:r>
                </w:p>
              </w:tc>
              <w:tc>
                <w:tcPr>
                  <w:tcW w:w="3075" w:type="pct"/>
                  <w:shd w:val="clear" w:color="auto" w:fill="D9D9D9" w:themeFill="background1" w:themeFillShade="D9"/>
                  <w:vAlign w:val="center"/>
                </w:tcPr>
                <w:p w14:paraId="0440D3A6" w14:textId="77777777" w:rsidR="003705BA" w:rsidRPr="004C0813" w:rsidRDefault="003705BA" w:rsidP="003705BA">
                  <w:pPr>
                    <w:rPr>
                      <w:rFonts w:cstheme="minorHAnsi"/>
                      <w:b/>
                      <w:bCs/>
                    </w:rPr>
                  </w:pPr>
                  <w:r w:rsidRPr="004C0813">
                    <w:rPr>
                      <w:rFonts w:cstheme="minorHAnsi"/>
                      <w:b/>
                      <w:bCs/>
                    </w:rPr>
                    <w:t xml:space="preserve">Critères de priorisation </w:t>
                  </w:r>
                </w:p>
              </w:tc>
              <w:tc>
                <w:tcPr>
                  <w:tcW w:w="562" w:type="pct"/>
                  <w:shd w:val="clear" w:color="auto" w:fill="D9D9D9" w:themeFill="background1" w:themeFillShade="D9"/>
                  <w:vAlign w:val="center"/>
                </w:tcPr>
                <w:p w14:paraId="46042700" w14:textId="77777777" w:rsidR="003705BA" w:rsidRPr="004C0813" w:rsidRDefault="003705BA" w:rsidP="003705BA">
                  <w:pPr>
                    <w:jc w:val="center"/>
                    <w:rPr>
                      <w:rFonts w:cstheme="minorHAnsi"/>
                      <w:b/>
                      <w:bCs/>
                    </w:rPr>
                  </w:pPr>
                  <w:r w:rsidRPr="004C0813">
                    <w:rPr>
                      <w:rFonts w:cstheme="minorHAnsi"/>
                      <w:b/>
                      <w:bCs/>
                    </w:rPr>
                    <w:t>Nbre de DS</w:t>
                  </w:r>
                </w:p>
              </w:tc>
            </w:tr>
            <w:bookmarkEnd w:id="11"/>
            <w:tr w:rsidR="003705BA" w:rsidRPr="004C0813" w14:paraId="73BADEDA" w14:textId="77777777" w:rsidTr="00A63E6B">
              <w:trPr>
                <w:trHeight w:val="482"/>
              </w:trPr>
              <w:tc>
                <w:tcPr>
                  <w:tcW w:w="637" w:type="pct"/>
                  <w:vMerge w:val="restart"/>
                  <w:vAlign w:val="center"/>
                </w:tcPr>
                <w:p w14:paraId="792728C4" w14:textId="77777777" w:rsidR="003705BA" w:rsidRPr="004C0813" w:rsidRDefault="003705BA" w:rsidP="003705BA">
                  <w:pPr>
                    <w:rPr>
                      <w:rFonts w:cstheme="minorHAnsi"/>
                      <w:b/>
                      <w:bCs/>
                    </w:rPr>
                  </w:pPr>
                  <w:r w:rsidRPr="004C0813">
                    <w:rPr>
                      <w:rFonts w:cstheme="minorHAnsi"/>
                      <w:b/>
                      <w:bCs/>
                    </w:rPr>
                    <w:t>NA</w:t>
                  </w:r>
                </w:p>
              </w:tc>
              <w:tc>
                <w:tcPr>
                  <w:tcW w:w="725" w:type="pct"/>
                  <w:vAlign w:val="center"/>
                </w:tcPr>
                <w:p w14:paraId="6E53EBF9" w14:textId="77777777" w:rsidR="003705BA" w:rsidRPr="004C0813" w:rsidRDefault="003705BA" w:rsidP="003705BA">
                  <w:pPr>
                    <w:rPr>
                      <w:rFonts w:cstheme="minorHAnsi"/>
                    </w:rPr>
                  </w:pPr>
                  <w:r w:rsidRPr="004C0813">
                    <w:rPr>
                      <w:rFonts w:cstheme="minorHAnsi"/>
                    </w:rPr>
                    <w:t>PS</w:t>
                  </w:r>
                </w:p>
              </w:tc>
              <w:tc>
                <w:tcPr>
                  <w:tcW w:w="3075" w:type="pct"/>
                  <w:vAlign w:val="center"/>
                </w:tcPr>
                <w:p w14:paraId="2490AA91"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Taille de la population des PS par district</w:t>
                  </w:r>
                </w:p>
                <w:p w14:paraId="5CEC40EF"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Prise en compte des DS où des études ont eu lieu (IBBSS, PLACE, SHARM, etc.)</w:t>
                  </w:r>
                </w:p>
                <w:p w14:paraId="6E83FCDE"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Villes principales et secondaires sur les axes de voyage (Abidjan - pays du Nord ; Abidjan-Lagos ; Abidjan Ouest et Sud-Ouest)</w:t>
                  </w:r>
                </w:p>
                <w:p w14:paraId="5888CE01"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Villes qui abritent des activités économiques attrayantes</w:t>
                  </w:r>
                </w:p>
                <w:p w14:paraId="1353D1DC"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Villes frontalières qui favorisent les échanges commerciaux intenses.</w:t>
                  </w:r>
                </w:p>
              </w:tc>
              <w:tc>
                <w:tcPr>
                  <w:tcW w:w="562" w:type="pct"/>
                  <w:vAlign w:val="center"/>
                </w:tcPr>
                <w:p w14:paraId="11A6A211" w14:textId="77777777" w:rsidR="003705BA" w:rsidRPr="004C0813" w:rsidRDefault="003705BA" w:rsidP="003705BA">
                  <w:pPr>
                    <w:jc w:val="center"/>
                    <w:rPr>
                      <w:rFonts w:cstheme="minorHAnsi"/>
                      <w:b/>
                      <w:bCs/>
                    </w:rPr>
                  </w:pPr>
                  <w:r w:rsidRPr="004C0813">
                    <w:rPr>
                      <w:rFonts w:cstheme="minorHAnsi"/>
                      <w:b/>
                      <w:bCs/>
                    </w:rPr>
                    <w:t>67</w:t>
                  </w:r>
                </w:p>
                <w:p w14:paraId="40A4220B" w14:textId="77777777" w:rsidR="003705BA" w:rsidRPr="004C0813" w:rsidRDefault="003705BA" w:rsidP="003705BA">
                  <w:pPr>
                    <w:jc w:val="center"/>
                    <w:rPr>
                      <w:rFonts w:cstheme="minorHAnsi"/>
                      <w:b/>
                      <w:bCs/>
                    </w:rPr>
                  </w:pPr>
                </w:p>
              </w:tc>
            </w:tr>
            <w:tr w:rsidR="00A63E6B" w:rsidRPr="004C0813" w14:paraId="5F25389E" w14:textId="77777777" w:rsidTr="00A63E6B">
              <w:trPr>
                <w:trHeight w:val="482"/>
              </w:trPr>
              <w:tc>
                <w:tcPr>
                  <w:tcW w:w="637" w:type="pct"/>
                  <w:vMerge/>
                  <w:vAlign w:val="center"/>
                </w:tcPr>
                <w:p w14:paraId="63044FBF" w14:textId="77777777" w:rsidR="00A63E6B" w:rsidRPr="004C0813" w:rsidRDefault="00A63E6B" w:rsidP="003705BA">
                  <w:pPr>
                    <w:rPr>
                      <w:rFonts w:cstheme="minorHAnsi"/>
                      <w:b/>
                      <w:bCs/>
                    </w:rPr>
                  </w:pPr>
                </w:p>
              </w:tc>
              <w:tc>
                <w:tcPr>
                  <w:tcW w:w="725" w:type="pct"/>
                  <w:vAlign w:val="center"/>
                </w:tcPr>
                <w:p w14:paraId="37744AA6" w14:textId="77777777" w:rsidR="00A63E6B" w:rsidRPr="004C0813" w:rsidRDefault="00A63E6B" w:rsidP="003705BA">
                  <w:pPr>
                    <w:rPr>
                      <w:rFonts w:cstheme="minorHAnsi"/>
                    </w:rPr>
                  </w:pPr>
                  <w:r w:rsidRPr="004C0813">
                    <w:rPr>
                      <w:rFonts w:cstheme="minorHAnsi"/>
                    </w:rPr>
                    <w:t>HSH</w:t>
                  </w:r>
                </w:p>
              </w:tc>
              <w:tc>
                <w:tcPr>
                  <w:tcW w:w="3075" w:type="pct"/>
                  <w:vAlign w:val="center"/>
                </w:tcPr>
                <w:p w14:paraId="03608A3D" w14:textId="77777777" w:rsidR="00A63E6B" w:rsidRPr="004C0813" w:rsidRDefault="00A63E6B" w:rsidP="003705BA">
                  <w:pPr>
                    <w:pStyle w:val="liste2"/>
                    <w:ind w:left="720" w:hanging="360"/>
                    <w:rPr>
                      <w:rFonts w:cstheme="minorHAnsi"/>
                      <w:sz w:val="20"/>
                      <w:szCs w:val="20"/>
                    </w:rPr>
                  </w:pPr>
                  <w:r w:rsidRPr="004C0813">
                    <w:rPr>
                      <w:rFonts w:cstheme="minorHAnsi"/>
                      <w:sz w:val="20"/>
                      <w:szCs w:val="20"/>
                    </w:rPr>
                    <w:t>Toutes les villes où des études et/ou des estimations de taille ont été conduites ;</w:t>
                  </w:r>
                </w:p>
                <w:p w14:paraId="29A40806" w14:textId="77777777" w:rsidR="00A63E6B" w:rsidRPr="004C0813" w:rsidRDefault="00A63E6B" w:rsidP="003705BA">
                  <w:pPr>
                    <w:pStyle w:val="liste2"/>
                    <w:ind w:left="720" w:hanging="360"/>
                    <w:rPr>
                      <w:rFonts w:cstheme="minorHAnsi"/>
                      <w:sz w:val="20"/>
                      <w:szCs w:val="20"/>
                    </w:rPr>
                  </w:pPr>
                  <w:r w:rsidRPr="004C0813">
                    <w:rPr>
                      <w:rFonts w:cstheme="minorHAnsi"/>
                      <w:sz w:val="20"/>
                      <w:szCs w:val="20"/>
                    </w:rPr>
                    <w:t>Les districts ayant des interventions en cours</w:t>
                  </w:r>
                </w:p>
                <w:p w14:paraId="14D49B0F" w14:textId="27FE0B18" w:rsidR="00A63E6B" w:rsidRPr="004C0813" w:rsidRDefault="00A63E6B" w:rsidP="003705BA">
                  <w:pPr>
                    <w:pStyle w:val="liste2"/>
                    <w:ind w:left="720" w:hanging="360"/>
                    <w:rPr>
                      <w:rFonts w:cstheme="minorHAnsi"/>
                      <w:sz w:val="20"/>
                      <w:szCs w:val="20"/>
                    </w:rPr>
                  </w:pPr>
                  <w:r w:rsidRPr="004C0813">
                    <w:rPr>
                      <w:rFonts w:cstheme="minorHAnsi"/>
                      <w:sz w:val="20"/>
                      <w:szCs w:val="20"/>
                    </w:rPr>
                    <w:t>Les districts ayant rapporté des données de prévention et/ou de dépistage en 2019 (pour éviter de mettre des ressources là il y a peu ou pas de HSH)</w:t>
                  </w:r>
                </w:p>
              </w:tc>
              <w:tc>
                <w:tcPr>
                  <w:tcW w:w="562" w:type="pct"/>
                  <w:vMerge w:val="restart"/>
                  <w:vAlign w:val="center"/>
                </w:tcPr>
                <w:p w14:paraId="1FFD9AB8" w14:textId="09F3B441" w:rsidR="00A63E6B" w:rsidRPr="004C0813" w:rsidRDefault="00A63E6B" w:rsidP="00750CA9">
                  <w:pPr>
                    <w:jc w:val="center"/>
                    <w:rPr>
                      <w:rFonts w:cstheme="minorHAnsi"/>
                      <w:b/>
                      <w:bCs/>
                    </w:rPr>
                  </w:pPr>
                  <w:r w:rsidRPr="004C0813">
                    <w:rPr>
                      <w:rFonts w:cstheme="minorHAnsi"/>
                      <w:b/>
                      <w:bCs/>
                    </w:rPr>
                    <w:t>59</w:t>
                  </w:r>
                </w:p>
              </w:tc>
            </w:tr>
            <w:tr w:rsidR="00A63E6B" w:rsidRPr="004C0813" w14:paraId="3B2528DF" w14:textId="77777777" w:rsidTr="00A63E6B">
              <w:trPr>
                <w:trHeight w:val="482"/>
              </w:trPr>
              <w:tc>
                <w:tcPr>
                  <w:tcW w:w="637" w:type="pct"/>
                  <w:vMerge/>
                  <w:vAlign w:val="center"/>
                </w:tcPr>
                <w:p w14:paraId="31F9F2F2" w14:textId="77777777" w:rsidR="00A63E6B" w:rsidRPr="004C0813" w:rsidRDefault="00A63E6B" w:rsidP="003705BA">
                  <w:pPr>
                    <w:rPr>
                      <w:rFonts w:cstheme="minorHAnsi"/>
                      <w:b/>
                      <w:bCs/>
                    </w:rPr>
                  </w:pPr>
                </w:p>
              </w:tc>
              <w:tc>
                <w:tcPr>
                  <w:tcW w:w="725" w:type="pct"/>
                  <w:vAlign w:val="center"/>
                </w:tcPr>
                <w:p w14:paraId="5CE9F6D1" w14:textId="77777777" w:rsidR="00A63E6B" w:rsidRPr="004C0813" w:rsidRDefault="00A63E6B" w:rsidP="003705BA">
                  <w:pPr>
                    <w:rPr>
                      <w:rFonts w:cstheme="minorHAnsi"/>
                    </w:rPr>
                  </w:pPr>
                  <w:r w:rsidRPr="004C0813">
                    <w:rPr>
                      <w:rFonts w:cstheme="minorHAnsi"/>
                    </w:rPr>
                    <w:t xml:space="preserve">Transgenres </w:t>
                  </w:r>
                </w:p>
              </w:tc>
              <w:tc>
                <w:tcPr>
                  <w:tcW w:w="3075" w:type="pct"/>
                  <w:vAlign w:val="center"/>
                </w:tcPr>
                <w:p w14:paraId="16AEA604" w14:textId="77777777" w:rsidR="00A63E6B" w:rsidRDefault="00A63E6B" w:rsidP="003705BA">
                  <w:pPr>
                    <w:pStyle w:val="liste2"/>
                    <w:ind w:left="720" w:hanging="360"/>
                    <w:rPr>
                      <w:rFonts w:cstheme="minorHAnsi"/>
                      <w:sz w:val="20"/>
                      <w:szCs w:val="20"/>
                    </w:rPr>
                  </w:pPr>
                  <w:r>
                    <w:rPr>
                      <w:rFonts w:cstheme="minorHAnsi"/>
                      <w:sz w:val="20"/>
                      <w:szCs w:val="20"/>
                    </w:rPr>
                    <w:t>Mise en œuvre d’un paquet de services de prévention adapté à leurs besoins</w:t>
                  </w:r>
                </w:p>
                <w:p w14:paraId="4523A51E" w14:textId="77777777" w:rsidR="00A63E6B" w:rsidRPr="00336303" w:rsidRDefault="00A63E6B" w:rsidP="003705BA">
                  <w:pPr>
                    <w:pStyle w:val="liste2"/>
                    <w:ind w:left="720" w:hanging="360"/>
                    <w:rPr>
                      <w:rFonts w:cstheme="minorHAnsi"/>
                      <w:sz w:val="20"/>
                      <w:szCs w:val="20"/>
                    </w:rPr>
                  </w:pPr>
                  <w:r w:rsidRPr="00336303">
                    <w:rPr>
                      <w:rFonts w:cstheme="minorHAnsi"/>
                      <w:sz w:val="20"/>
                      <w:szCs w:val="20"/>
                    </w:rPr>
                    <w:t>Estimations à conduire</w:t>
                  </w:r>
                </w:p>
              </w:tc>
              <w:tc>
                <w:tcPr>
                  <w:tcW w:w="562" w:type="pct"/>
                  <w:vMerge/>
                  <w:vAlign w:val="center"/>
                </w:tcPr>
                <w:p w14:paraId="03825C8C" w14:textId="6419EE63" w:rsidR="00A63E6B" w:rsidRPr="00336303" w:rsidRDefault="00A63E6B" w:rsidP="003705BA">
                  <w:pPr>
                    <w:jc w:val="center"/>
                    <w:rPr>
                      <w:rFonts w:cstheme="minorHAnsi"/>
                      <w:lang w:eastAsia="fr-FR"/>
                    </w:rPr>
                  </w:pPr>
                </w:p>
              </w:tc>
            </w:tr>
            <w:tr w:rsidR="003705BA" w:rsidRPr="004C0813" w14:paraId="1440189D" w14:textId="77777777" w:rsidTr="00A63E6B">
              <w:trPr>
                <w:trHeight w:val="482"/>
              </w:trPr>
              <w:tc>
                <w:tcPr>
                  <w:tcW w:w="637" w:type="pct"/>
                  <w:vMerge/>
                  <w:vAlign w:val="center"/>
                </w:tcPr>
                <w:p w14:paraId="1B9DCDD4" w14:textId="77777777" w:rsidR="003705BA" w:rsidRPr="004C0813" w:rsidRDefault="003705BA" w:rsidP="003705BA">
                  <w:pPr>
                    <w:rPr>
                      <w:rFonts w:cstheme="minorHAnsi"/>
                      <w:b/>
                      <w:bCs/>
                    </w:rPr>
                  </w:pPr>
                </w:p>
              </w:tc>
              <w:tc>
                <w:tcPr>
                  <w:tcW w:w="725" w:type="pct"/>
                  <w:vAlign w:val="center"/>
                </w:tcPr>
                <w:p w14:paraId="0FEDF730" w14:textId="77777777" w:rsidR="003705BA" w:rsidRPr="004C0813" w:rsidRDefault="003705BA" w:rsidP="003705BA">
                  <w:pPr>
                    <w:rPr>
                      <w:rFonts w:cstheme="minorHAnsi"/>
                    </w:rPr>
                  </w:pPr>
                  <w:r w:rsidRPr="004C0813">
                    <w:rPr>
                      <w:rFonts w:cstheme="minorHAnsi"/>
                    </w:rPr>
                    <w:t xml:space="preserve">UD </w:t>
                  </w:r>
                </w:p>
              </w:tc>
              <w:tc>
                <w:tcPr>
                  <w:tcW w:w="3075" w:type="pct"/>
                  <w:vAlign w:val="center"/>
                </w:tcPr>
                <w:p w14:paraId="3730B69E"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Reconduction systématique des zones d'interventions en cours y compris les districts dans lesquels des études ont eu lieu dans les 5 dernières années</w:t>
                  </w:r>
                </w:p>
                <w:p w14:paraId="62DA9E7E" w14:textId="77777777" w:rsidR="003705BA" w:rsidRPr="004C0813" w:rsidRDefault="003705BA" w:rsidP="003705BA">
                  <w:pPr>
                    <w:pStyle w:val="liste2"/>
                    <w:ind w:left="720" w:hanging="360"/>
                    <w:rPr>
                      <w:rFonts w:cstheme="minorHAnsi"/>
                      <w:sz w:val="20"/>
                      <w:szCs w:val="20"/>
                    </w:rPr>
                  </w:pPr>
                  <w:r w:rsidRPr="00923BDB">
                    <w:rPr>
                      <w:sz w:val="20"/>
                    </w:rPr>
                    <w:t>Ajout de 6 nouveaux districts aux 16 en cours</w:t>
                  </w:r>
                </w:p>
              </w:tc>
              <w:tc>
                <w:tcPr>
                  <w:tcW w:w="562" w:type="pct"/>
                  <w:vAlign w:val="center"/>
                </w:tcPr>
                <w:p w14:paraId="77FF3278" w14:textId="77777777" w:rsidR="003705BA" w:rsidRPr="004C0813" w:rsidRDefault="003705BA" w:rsidP="003705BA">
                  <w:pPr>
                    <w:jc w:val="center"/>
                    <w:rPr>
                      <w:rFonts w:cstheme="minorHAnsi"/>
                      <w:b/>
                      <w:bCs/>
                    </w:rPr>
                  </w:pPr>
                  <w:r w:rsidRPr="004C0813">
                    <w:rPr>
                      <w:rFonts w:cstheme="minorHAnsi"/>
                      <w:b/>
                      <w:bCs/>
                    </w:rPr>
                    <w:t>22</w:t>
                  </w:r>
                </w:p>
              </w:tc>
            </w:tr>
            <w:tr w:rsidR="003705BA" w:rsidRPr="004C0813" w14:paraId="520B4E5A" w14:textId="77777777" w:rsidTr="00A63E6B">
              <w:trPr>
                <w:trHeight w:val="482"/>
              </w:trPr>
              <w:tc>
                <w:tcPr>
                  <w:tcW w:w="637" w:type="pct"/>
                  <w:vMerge/>
                  <w:vAlign w:val="center"/>
                </w:tcPr>
                <w:p w14:paraId="79FCEB9D" w14:textId="77777777" w:rsidR="003705BA" w:rsidRPr="004C0813" w:rsidRDefault="003705BA" w:rsidP="003705BA">
                  <w:pPr>
                    <w:rPr>
                      <w:rFonts w:cstheme="minorHAnsi"/>
                      <w:b/>
                      <w:bCs/>
                    </w:rPr>
                  </w:pPr>
                </w:p>
              </w:tc>
              <w:tc>
                <w:tcPr>
                  <w:tcW w:w="725" w:type="pct"/>
                  <w:vAlign w:val="center"/>
                </w:tcPr>
                <w:p w14:paraId="76E7E928" w14:textId="77777777" w:rsidR="003705BA" w:rsidRPr="004C0813" w:rsidRDefault="003705BA" w:rsidP="003705BA">
                  <w:pPr>
                    <w:rPr>
                      <w:rFonts w:cstheme="minorHAnsi"/>
                    </w:rPr>
                  </w:pPr>
                  <w:r w:rsidRPr="004C0813">
                    <w:rPr>
                      <w:rFonts w:cstheme="minorHAnsi"/>
                    </w:rPr>
                    <w:t xml:space="preserve">Populations carcérales </w:t>
                  </w:r>
                </w:p>
              </w:tc>
              <w:tc>
                <w:tcPr>
                  <w:tcW w:w="3075" w:type="pct"/>
                  <w:vAlign w:val="center"/>
                </w:tcPr>
                <w:p w14:paraId="39E89EF0"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Toutes les Maisons d’Arrêt et de Correction (MAC) de la Côte d’Ivoire</w:t>
                  </w:r>
                </w:p>
              </w:tc>
              <w:tc>
                <w:tcPr>
                  <w:tcW w:w="562" w:type="pct"/>
                  <w:vAlign w:val="center"/>
                </w:tcPr>
                <w:p w14:paraId="2C263D52" w14:textId="77777777" w:rsidR="003705BA" w:rsidRPr="004C0813" w:rsidRDefault="003705BA" w:rsidP="003705BA">
                  <w:pPr>
                    <w:jc w:val="center"/>
                    <w:rPr>
                      <w:rFonts w:cstheme="minorHAnsi"/>
                      <w:b/>
                      <w:bCs/>
                    </w:rPr>
                  </w:pPr>
                  <w:r w:rsidRPr="004C0813">
                    <w:rPr>
                      <w:rFonts w:cstheme="minorHAnsi"/>
                      <w:b/>
                      <w:bCs/>
                    </w:rPr>
                    <w:t>35</w:t>
                  </w:r>
                </w:p>
              </w:tc>
            </w:tr>
            <w:tr w:rsidR="003705BA" w:rsidRPr="004C0813" w14:paraId="15B624E8" w14:textId="77777777" w:rsidTr="00A63E6B">
              <w:trPr>
                <w:trHeight w:val="482"/>
              </w:trPr>
              <w:tc>
                <w:tcPr>
                  <w:tcW w:w="637" w:type="pct"/>
                  <w:vMerge w:val="restart"/>
                  <w:vAlign w:val="center"/>
                </w:tcPr>
                <w:p w14:paraId="16C9AB30" w14:textId="77777777" w:rsidR="003705BA" w:rsidRPr="004C0813" w:rsidRDefault="003705BA" w:rsidP="003705BA">
                  <w:pPr>
                    <w:rPr>
                      <w:rFonts w:cstheme="minorHAnsi"/>
                      <w:b/>
                      <w:bCs/>
                    </w:rPr>
                  </w:pPr>
                  <w:r w:rsidRPr="004C0813">
                    <w:rPr>
                      <w:rFonts w:cstheme="minorHAnsi"/>
                      <w:b/>
                      <w:bCs/>
                    </w:rPr>
                    <w:t xml:space="preserve">Prévention </w:t>
                  </w:r>
                </w:p>
              </w:tc>
              <w:tc>
                <w:tcPr>
                  <w:tcW w:w="725" w:type="pct"/>
                  <w:vAlign w:val="center"/>
                </w:tcPr>
                <w:p w14:paraId="51B917C5" w14:textId="77777777" w:rsidR="003705BA" w:rsidRPr="00750CA9" w:rsidRDefault="003705BA" w:rsidP="003705BA">
                  <w:r w:rsidRPr="00750CA9">
                    <w:t>Adolescentes 15-19 ans</w:t>
                  </w:r>
                </w:p>
              </w:tc>
              <w:tc>
                <w:tcPr>
                  <w:tcW w:w="3075" w:type="pct"/>
                  <w:vAlign w:val="center"/>
                </w:tcPr>
                <w:p w14:paraId="44D1B769"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 xml:space="preserve">Incidence </w:t>
                  </w:r>
                  <w:r>
                    <w:rPr>
                      <w:rFonts w:cstheme="minorHAnsi"/>
                      <w:sz w:val="20"/>
                      <w:szCs w:val="20"/>
                    </w:rPr>
                    <w:t>jeunes f</w:t>
                  </w:r>
                  <w:r w:rsidRPr="004C0813">
                    <w:rPr>
                      <w:rFonts w:cstheme="minorHAnsi"/>
                      <w:sz w:val="20"/>
                      <w:szCs w:val="20"/>
                    </w:rPr>
                    <w:t>emme</w:t>
                  </w:r>
                  <w:r>
                    <w:rPr>
                      <w:rFonts w:cstheme="minorHAnsi"/>
                      <w:sz w:val="20"/>
                      <w:szCs w:val="20"/>
                    </w:rPr>
                    <w:t>s</w:t>
                  </w:r>
                  <w:r w:rsidRPr="004C0813">
                    <w:rPr>
                      <w:rFonts w:cstheme="minorHAnsi"/>
                      <w:sz w:val="20"/>
                      <w:szCs w:val="20"/>
                    </w:rPr>
                    <w:t xml:space="preserve"> 15-19 &gt; 0,6</w:t>
                  </w:r>
                  <w:r>
                    <w:rPr>
                      <w:rFonts w:cstheme="minorHAnsi"/>
                      <w:sz w:val="20"/>
                      <w:szCs w:val="20"/>
                    </w:rPr>
                    <w:t xml:space="preserve"> p. 1000</w:t>
                  </w:r>
                </w:p>
              </w:tc>
              <w:tc>
                <w:tcPr>
                  <w:tcW w:w="562" w:type="pct"/>
                  <w:vMerge w:val="restart"/>
                  <w:vAlign w:val="center"/>
                </w:tcPr>
                <w:p w14:paraId="3C75FEA0" w14:textId="77777777" w:rsidR="003705BA" w:rsidRPr="004C0813" w:rsidRDefault="003705BA" w:rsidP="003705BA">
                  <w:pPr>
                    <w:jc w:val="center"/>
                    <w:rPr>
                      <w:rFonts w:cstheme="minorHAnsi"/>
                      <w:b/>
                      <w:bCs/>
                    </w:rPr>
                  </w:pPr>
                  <w:r w:rsidRPr="004C0813">
                    <w:rPr>
                      <w:rFonts w:cstheme="minorHAnsi"/>
                      <w:b/>
                      <w:bCs/>
                    </w:rPr>
                    <w:t>36</w:t>
                  </w:r>
                </w:p>
              </w:tc>
            </w:tr>
            <w:tr w:rsidR="003705BA" w:rsidRPr="004C0813" w14:paraId="59378B03" w14:textId="77777777" w:rsidTr="00A63E6B">
              <w:trPr>
                <w:trHeight w:val="482"/>
              </w:trPr>
              <w:tc>
                <w:tcPr>
                  <w:tcW w:w="637" w:type="pct"/>
                  <w:vMerge/>
                  <w:vAlign w:val="center"/>
                </w:tcPr>
                <w:p w14:paraId="07B29786" w14:textId="77777777" w:rsidR="003705BA" w:rsidRPr="004C0813" w:rsidRDefault="003705BA" w:rsidP="003705BA">
                  <w:pPr>
                    <w:rPr>
                      <w:rFonts w:cstheme="minorHAnsi"/>
                      <w:b/>
                      <w:bCs/>
                    </w:rPr>
                  </w:pPr>
                </w:p>
              </w:tc>
              <w:tc>
                <w:tcPr>
                  <w:tcW w:w="725" w:type="pct"/>
                  <w:vAlign w:val="center"/>
                </w:tcPr>
                <w:p w14:paraId="696BAED8" w14:textId="77777777" w:rsidR="003705BA" w:rsidRPr="00750CA9" w:rsidRDefault="003705BA" w:rsidP="003705BA">
                  <w:r w:rsidRPr="00750CA9">
                    <w:t>Jeunes femmes 15-24 ans</w:t>
                  </w:r>
                </w:p>
              </w:tc>
              <w:tc>
                <w:tcPr>
                  <w:tcW w:w="3075" w:type="pct"/>
                  <w:vAlign w:val="center"/>
                </w:tcPr>
                <w:p w14:paraId="631F7307"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 xml:space="preserve">[Incidence </w:t>
                  </w:r>
                  <w:r>
                    <w:rPr>
                      <w:rFonts w:cstheme="minorHAnsi"/>
                      <w:sz w:val="20"/>
                      <w:szCs w:val="20"/>
                    </w:rPr>
                    <w:t>jeunes f</w:t>
                  </w:r>
                  <w:r w:rsidRPr="004C0813">
                    <w:rPr>
                      <w:rFonts w:cstheme="minorHAnsi"/>
                      <w:sz w:val="20"/>
                      <w:szCs w:val="20"/>
                    </w:rPr>
                    <w:t>emme</w:t>
                  </w:r>
                  <w:r>
                    <w:rPr>
                      <w:rFonts w:cstheme="minorHAnsi"/>
                      <w:sz w:val="20"/>
                      <w:szCs w:val="20"/>
                    </w:rPr>
                    <w:t>s</w:t>
                  </w:r>
                  <w:r w:rsidRPr="004C0813">
                    <w:rPr>
                      <w:rFonts w:cstheme="minorHAnsi"/>
                      <w:sz w:val="20"/>
                      <w:szCs w:val="20"/>
                    </w:rPr>
                    <w:t xml:space="preserve"> 15-19 &gt; 0,6</w:t>
                  </w:r>
                  <w:r>
                    <w:rPr>
                      <w:rFonts w:cstheme="minorHAnsi"/>
                      <w:sz w:val="20"/>
                      <w:szCs w:val="20"/>
                    </w:rPr>
                    <w:t xml:space="preserve"> p. 1000</w:t>
                  </w:r>
                  <w:r w:rsidRPr="004C0813">
                    <w:rPr>
                      <w:rFonts w:cstheme="minorHAnsi"/>
                      <w:sz w:val="20"/>
                      <w:szCs w:val="20"/>
                    </w:rPr>
                    <w:t xml:space="preserve">] et [Incidence </w:t>
                  </w:r>
                  <w:r>
                    <w:rPr>
                      <w:rFonts w:cstheme="minorHAnsi"/>
                      <w:sz w:val="20"/>
                      <w:szCs w:val="20"/>
                    </w:rPr>
                    <w:t>jeunes f</w:t>
                  </w:r>
                  <w:r w:rsidRPr="004C0813">
                    <w:rPr>
                      <w:rFonts w:cstheme="minorHAnsi"/>
                      <w:sz w:val="20"/>
                      <w:szCs w:val="20"/>
                    </w:rPr>
                    <w:t>emme</w:t>
                  </w:r>
                  <w:r>
                    <w:rPr>
                      <w:rFonts w:cstheme="minorHAnsi"/>
                      <w:sz w:val="20"/>
                      <w:szCs w:val="20"/>
                    </w:rPr>
                    <w:t>s</w:t>
                  </w:r>
                  <w:r w:rsidRPr="004C0813">
                    <w:rPr>
                      <w:rFonts w:cstheme="minorHAnsi"/>
                      <w:sz w:val="20"/>
                      <w:szCs w:val="20"/>
                    </w:rPr>
                    <w:t xml:space="preserve"> 20</w:t>
                  </w:r>
                  <w:r>
                    <w:rPr>
                      <w:rFonts w:cstheme="minorHAnsi"/>
                      <w:sz w:val="20"/>
                      <w:szCs w:val="20"/>
                    </w:rPr>
                    <w:t>-</w:t>
                  </w:r>
                  <w:r w:rsidRPr="004C0813">
                    <w:rPr>
                      <w:rFonts w:cstheme="minorHAnsi"/>
                      <w:sz w:val="20"/>
                      <w:szCs w:val="20"/>
                    </w:rPr>
                    <w:t>24 &gt; 1,10</w:t>
                  </w:r>
                  <w:r>
                    <w:rPr>
                      <w:rFonts w:cstheme="minorHAnsi"/>
                      <w:sz w:val="20"/>
                      <w:szCs w:val="20"/>
                    </w:rPr>
                    <w:t xml:space="preserve"> p. 1000</w:t>
                  </w:r>
                  <w:r w:rsidRPr="004C0813">
                    <w:rPr>
                      <w:rFonts w:cstheme="minorHAnsi"/>
                      <w:sz w:val="20"/>
                      <w:szCs w:val="20"/>
                    </w:rPr>
                    <w:t>]</w:t>
                  </w:r>
                </w:p>
              </w:tc>
              <w:tc>
                <w:tcPr>
                  <w:tcW w:w="562" w:type="pct"/>
                  <w:vMerge/>
                  <w:vAlign w:val="center"/>
                </w:tcPr>
                <w:p w14:paraId="488CB639" w14:textId="77777777" w:rsidR="003705BA" w:rsidRPr="004C0813" w:rsidRDefault="003705BA" w:rsidP="003705BA">
                  <w:pPr>
                    <w:jc w:val="center"/>
                    <w:rPr>
                      <w:rFonts w:cstheme="minorHAnsi"/>
                      <w:b/>
                      <w:bCs/>
                    </w:rPr>
                  </w:pPr>
                </w:p>
              </w:tc>
            </w:tr>
            <w:tr w:rsidR="003705BA" w:rsidRPr="004C0813" w14:paraId="75EA290A" w14:textId="77777777" w:rsidTr="00A63E6B">
              <w:trPr>
                <w:trHeight w:val="482"/>
              </w:trPr>
              <w:tc>
                <w:tcPr>
                  <w:tcW w:w="637" w:type="pct"/>
                  <w:vAlign w:val="center"/>
                </w:tcPr>
                <w:p w14:paraId="42DCD7EB" w14:textId="77777777" w:rsidR="003705BA" w:rsidRPr="004C0813" w:rsidRDefault="003705BA" w:rsidP="003705BA">
                  <w:pPr>
                    <w:rPr>
                      <w:rFonts w:cstheme="minorHAnsi"/>
                      <w:b/>
                      <w:bCs/>
                    </w:rPr>
                  </w:pPr>
                  <w:proofErr w:type="spellStart"/>
                  <w:r w:rsidRPr="004C0813">
                    <w:rPr>
                      <w:rFonts w:cstheme="minorHAnsi"/>
                      <w:b/>
                      <w:bCs/>
                    </w:rPr>
                    <w:t>eTME</w:t>
                  </w:r>
                  <w:proofErr w:type="spellEnd"/>
                </w:p>
              </w:tc>
              <w:tc>
                <w:tcPr>
                  <w:tcW w:w="725" w:type="pct"/>
                  <w:vAlign w:val="center"/>
                </w:tcPr>
                <w:p w14:paraId="2D542671" w14:textId="77777777" w:rsidR="003705BA" w:rsidRPr="004C0813" w:rsidRDefault="003705BA" w:rsidP="003705BA">
                  <w:pPr>
                    <w:rPr>
                      <w:rFonts w:cstheme="minorHAnsi"/>
                      <w:color w:val="FF0000"/>
                    </w:rPr>
                  </w:pPr>
                  <w:r w:rsidRPr="004C0813">
                    <w:rPr>
                      <w:rFonts w:cstheme="minorHAnsi"/>
                    </w:rPr>
                    <w:t xml:space="preserve">Couple mère-enfant </w:t>
                  </w:r>
                </w:p>
              </w:tc>
              <w:tc>
                <w:tcPr>
                  <w:tcW w:w="3075" w:type="pct"/>
                  <w:vAlign w:val="center"/>
                </w:tcPr>
                <w:p w14:paraId="10538F40"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[80% Nouvelles Infections chez les enfants] + [81% GAP national de couverture ARV chez les FE+] + [80% des FE+]</w:t>
                  </w:r>
                </w:p>
              </w:tc>
              <w:tc>
                <w:tcPr>
                  <w:tcW w:w="562" w:type="pct"/>
                  <w:vAlign w:val="center"/>
                </w:tcPr>
                <w:p w14:paraId="70AB47B0" w14:textId="77777777" w:rsidR="003705BA" w:rsidRPr="004C0813" w:rsidRDefault="003705BA" w:rsidP="003705BA">
                  <w:pPr>
                    <w:jc w:val="center"/>
                    <w:rPr>
                      <w:rFonts w:cstheme="minorHAnsi"/>
                      <w:b/>
                      <w:bCs/>
                    </w:rPr>
                  </w:pPr>
                  <w:r w:rsidRPr="004C0813">
                    <w:rPr>
                      <w:rFonts w:cstheme="minorHAnsi"/>
                      <w:b/>
                      <w:bCs/>
                    </w:rPr>
                    <w:t>47</w:t>
                  </w:r>
                </w:p>
              </w:tc>
            </w:tr>
            <w:tr w:rsidR="003705BA" w:rsidRPr="004C0813" w14:paraId="140A2B87" w14:textId="77777777" w:rsidTr="00A63E6B">
              <w:trPr>
                <w:trHeight w:val="482"/>
              </w:trPr>
              <w:tc>
                <w:tcPr>
                  <w:tcW w:w="637" w:type="pct"/>
                  <w:vAlign w:val="center"/>
                </w:tcPr>
                <w:p w14:paraId="33355972" w14:textId="77777777" w:rsidR="003705BA" w:rsidRPr="00923BDB" w:rsidRDefault="003705BA" w:rsidP="003705BA">
                  <w:pPr>
                    <w:rPr>
                      <w:b/>
                    </w:rPr>
                  </w:pPr>
                  <w:r w:rsidRPr="00923BDB">
                    <w:rPr>
                      <w:b/>
                    </w:rPr>
                    <w:t>Dépistage</w:t>
                  </w:r>
                </w:p>
              </w:tc>
              <w:tc>
                <w:tcPr>
                  <w:tcW w:w="725" w:type="pct"/>
                  <w:vAlign w:val="center"/>
                </w:tcPr>
                <w:p w14:paraId="20B54B26" w14:textId="77777777" w:rsidR="003705BA" w:rsidRPr="004C0813" w:rsidRDefault="003705BA" w:rsidP="003705BA">
                  <w:pPr>
                    <w:rPr>
                      <w:rFonts w:cstheme="minorHAnsi"/>
                    </w:rPr>
                  </w:pPr>
                  <w:r w:rsidRPr="004C0813">
                    <w:rPr>
                      <w:rFonts w:cstheme="minorHAnsi"/>
                    </w:rPr>
                    <w:t xml:space="preserve">Tous les PVVIH </w:t>
                  </w:r>
                </w:p>
              </w:tc>
              <w:tc>
                <w:tcPr>
                  <w:tcW w:w="3075" w:type="pct"/>
                  <w:vAlign w:val="center"/>
                </w:tcPr>
                <w:p w14:paraId="6610B763"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[80% du gap national sur le 1</w:t>
                  </w:r>
                  <w:r w:rsidRPr="004C0813">
                    <w:rPr>
                      <w:rFonts w:cstheme="minorHAnsi"/>
                      <w:sz w:val="20"/>
                      <w:szCs w:val="20"/>
                      <w:vertAlign w:val="superscript"/>
                    </w:rPr>
                    <w:t>er</w:t>
                  </w:r>
                  <w:r w:rsidRPr="004C0813">
                    <w:rPr>
                      <w:rFonts w:cstheme="minorHAnsi"/>
                      <w:sz w:val="20"/>
                      <w:szCs w:val="20"/>
                    </w:rPr>
                    <w:t xml:space="preserve"> 90] + [80% Nouvelles infections] + [80% des PVVIH]</w:t>
                  </w:r>
                </w:p>
              </w:tc>
              <w:tc>
                <w:tcPr>
                  <w:tcW w:w="562" w:type="pct"/>
                  <w:vAlign w:val="center"/>
                </w:tcPr>
                <w:p w14:paraId="2A582EDA" w14:textId="77777777" w:rsidR="003705BA" w:rsidRPr="00923BDB" w:rsidRDefault="003705BA" w:rsidP="003705BA">
                  <w:pPr>
                    <w:jc w:val="center"/>
                    <w:rPr>
                      <w:b/>
                    </w:rPr>
                  </w:pPr>
                  <w:r w:rsidRPr="00923BDB">
                    <w:rPr>
                      <w:b/>
                    </w:rPr>
                    <w:t>28</w:t>
                  </w:r>
                </w:p>
              </w:tc>
            </w:tr>
            <w:tr w:rsidR="003705BA" w:rsidRPr="004C0813" w14:paraId="4C9D1EB4" w14:textId="77777777" w:rsidTr="00A63E6B">
              <w:trPr>
                <w:trHeight w:val="482"/>
              </w:trPr>
              <w:tc>
                <w:tcPr>
                  <w:tcW w:w="637" w:type="pct"/>
                  <w:vAlign w:val="center"/>
                </w:tcPr>
                <w:p w14:paraId="653494B6" w14:textId="77777777" w:rsidR="003705BA" w:rsidRPr="00923BDB" w:rsidRDefault="003705BA" w:rsidP="003705BA">
                  <w:pPr>
                    <w:rPr>
                      <w:b/>
                    </w:rPr>
                  </w:pPr>
                  <w:r w:rsidRPr="00923BDB">
                    <w:rPr>
                      <w:b/>
                    </w:rPr>
                    <w:t>Traitement ARV</w:t>
                  </w:r>
                </w:p>
              </w:tc>
              <w:tc>
                <w:tcPr>
                  <w:tcW w:w="725" w:type="pct"/>
                  <w:vAlign w:val="center"/>
                </w:tcPr>
                <w:p w14:paraId="2D39EC93" w14:textId="77777777" w:rsidR="003705BA" w:rsidRPr="004C0813" w:rsidRDefault="003705BA" w:rsidP="003705BA">
                  <w:pPr>
                    <w:rPr>
                      <w:rFonts w:cstheme="minorHAnsi"/>
                    </w:rPr>
                  </w:pPr>
                  <w:r w:rsidRPr="004C0813">
                    <w:rPr>
                      <w:rFonts w:cstheme="minorHAnsi"/>
                    </w:rPr>
                    <w:t>Tous les PVVIH</w:t>
                  </w:r>
                </w:p>
              </w:tc>
              <w:tc>
                <w:tcPr>
                  <w:tcW w:w="3075" w:type="pct"/>
                  <w:vAlign w:val="center"/>
                </w:tcPr>
                <w:p w14:paraId="223590CE" w14:textId="77777777" w:rsidR="003705BA" w:rsidRPr="004C0813" w:rsidRDefault="003705BA" w:rsidP="003705BA">
                  <w:pPr>
                    <w:pStyle w:val="liste2"/>
                    <w:ind w:left="720" w:hanging="360"/>
                    <w:rPr>
                      <w:rFonts w:cstheme="minorHAnsi"/>
                      <w:sz w:val="20"/>
                      <w:szCs w:val="20"/>
                    </w:rPr>
                  </w:pPr>
                  <w:r w:rsidRPr="004C0813">
                    <w:rPr>
                      <w:rFonts w:cstheme="minorHAnsi"/>
                      <w:sz w:val="20"/>
                      <w:szCs w:val="20"/>
                    </w:rPr>
                    <w:t>[80% du gap national sur le 2</w:t>
                  </w:r>
                  <w:r w:rsidRPr="004C0813">
                    <w:rPr>
                      <w:rFonts w:cstheme="minorHAnsi"/>
                      <w:sz w:val="20"/>
                      <w:szCs w:val="20"/>
                      <w:vertAlign w:val="superscript"/>
                    </w:rPr>
                    <w:t>ème</w:t>
                  </w:r>
                  <w:r w:rsidRPr="004C0813">
                    <w:rPr>
                      <w:rFonts w:cstheme="minorHAnsi"/>
                      <w:sz w:val="20"/>
                      <w:szCs w:val="20"/>
                    </w:rPr>
                    <w:t xml:space="preserve"> 90]</w:t>
                  </w:r>
                </w:p>
              </w:tc>
              <w:tc>
                <w:tcPr>
                  <w:tcW w:w="562" w:type="pct"/>
                  <w:vAlign w:val="center"/>
                </w:tcPr>
                <w:p w14:paraId="7C00FAA9" w14:textId="77777777" w:rsidR="003705BA" w:rsidRPr="00923BDB" w:rsidRDefault="003705BA" w:rsidP="003705BA">
                  <w:pPr>
                    <w:jc w:val="center"/>
                    <w:rPr>
                      <w:b/>
                    </w:rPr>
                  </w:pPr>
                  <w:r w:rsidRPr="00923BDB">
                    <w:rPr>
                      <w:b/>
                    </w:rPr>
                    <w:t>30</w:t>
                  </w:r>
                </w:p>
              </w:tc>
            </w:tr>
            <w:tr w:rsidR="003705BA" w:rsidRPr="004C0813" w14:paraId="1B55CB80" w14:textId="77777777" w:rsidTr="00A63E6B">
              <w:trPr>
                <w:trHeight w:val="482"/>
              </w:trPr>
              <w:tc>
                <w:tcPr>
                  <w:tcW w:w="637" w:type="pct"/>
                  <w:vAlign w:val="center"/>
                </w:tcPr>
                <w:p w14:paraId="42AFBC3A" w14:textId="77777777" w:rsidR="003705BA" w:rsidRPr="00923BDB" w:rsidRDefault="003705BA" w:rsidP="003705BA">
                  <w:pPr>
                    <w:rPr>
                      <w:b/>
                    </w:rPr>
                  </w:pPr>
                  <w:r w:rsidRPr="00923BDB">
                    <w:rPr>
                      <w:b/>
                    </w:rPr>
                    <w:t>Rétention et soutien</w:t>
                  </w:r>
                </w:p>
              </w:tc>
              <w:tc>
                <w:tcPr>
                  <w:tcW w:w="725" w:type="pct"/>
                  <w:vAlign w:val="center"/>
                </w:tcPr>
                <w:p w14:paraId="6AD4D8EE" w14:textId="77777777" w:rsidR="003705BA" w:rsidRPr="004C0813" w:rsidRDefault="003705BA" w:rsidP="003705BA">
                  <w:pPr>
                    <w:rPr>
                      <w:rFonts w:cstheme="minorHAnsi"/>
                    </w:rPr>
                  </w:pPr>
                  <w:r w:rsidRPr="004C0813">
                    <w:rPr>
                      <w:rFonts w:cstheme="minorHAnsi"/>
                    </w:rPr>
                    <w:t xml:space="preserve">Tous les PVVIH </w:t>
                  </w:r>
                </w:p>
              </w:tc>
              <w:tc>
                <w:tcPr>
                  <w:tcW w:w="3075" w:type="pct"/>
                  <w:vAlign w:val="center"/>
                </w:tcPr>
                <w:p w14:paraId="029316D4" w14:textId="77777777" w:rsidR="003705BA" w:rsidRPr="00C63FFC" w:rsidRDefault="003705BA" w:rsidP="003705BA">
                  <w:pPr>
                    <w:pStyle w:val="liste2"/>
                    <w:ind w:left="720" w:hanging="360"/>
                    <w:rPr>
                      <w:rFonts w:cstheme="minorHAnsi"/>
                      <w:sz w:val="20"/>
                      <w:szCs w:val="20"/>
                    </w:rPr>
                  </w:pPr>
                  <w:r w:rsidRPr="00C63FFC">
                    <w:rPr>
                      <w:rFonts w:cstheme="minorHAnsi"/>
                      <w:sz w:val="20"/>
                      <w:szCs w:val="20"/>
                    </w:rPr>
                    <w:t>[80% du gap national sur le 3</w:t>
                  </w:r>
                  <w:r w:rsidRPr="00C63FFC">
                    <w:rPr>
                      <w:rFonts w:cstheme="minorHAnsi"/>
                      <w:sz w:val="20"/>
                      <w:szCs w:val="20"/>
                      <w:vertAlign w:val="superscript"/>
                    </w:rPr>
                    <w:t>ème</w:t>
                  </w:r>
                  <w:r w:rsidRPr="00C63FFC">
                    <w:rPr>
                      <w:rFonts w:cstheme="minorHAnsi"/>
                      <w:sz w:val="20"/>
                      <w:szCs w:val="20"/>
                    </w:rPr>
                    <w:t xml:space="preserve"> 90] </w:t>
                  </w:r>
                </w:p>
              </w:tc>
              <w:tc>
                <w:tcPr>
                  <w:tcW w:w="562" w:type="pct"/>
                  <w:vAlign w:val="center"/>
                </w:tcPr>
                <w:p w14:paraId="5FDF79F0" w14:textId="77777777" w:rsidR="003705BA" w:rsidRPr="00C63FFC" w:rsidRDefault="003705BA" w:rsidP="003705BA">
                  <w:pPr>
                    <w:jc w:val="center"/>
                    <w:rPr>
                      <w:b/>
                    </w:rPr>
                  </w:pPr>
                  <w:r w:rsidRPr="00C63FFC">
                    <w:rPr>
                      <w:b/>
                    </w:rPr>
                    <w:t>28</w:t>
                  </w:r>
                </w:p>
              </w:tc>
            </w:tr>
          </w:tbl>
          <w:p w14:paraId="456CB9C7" w14:textId="2571C870" w:rsidR="003705BA" w:rsidRPr="00C63FFC" w:rsidRDefault="003705BA" w:rsidP="00C63FFC">
            <w:pPr>
              <w:pStyle w:val="Caption"/>
              <w:jc w:val="center"/>
              <w:rPr>
                <w:sz w:val="18"/>
                <w:szCs w:val="18"/>
              </w:rPr>
            </w:pPr>
            <w:r w:rsidRPr="00C63FFC">
              <w:rPr>
                <w:rStyle w:val="SubtleReference"/>
                <w:smallCaps/>
                <w:color w:val="828282" w:themeColor="text1" w:themeTint="A6"/>
                <w:sz w:val="18"/>
                <w:szCs w:val="18"/>
                <w:u w:val="none"/>
              </w:rPr>
              <w:t xml:space="preserve">Tableau </w:t>
            </w:r>
            <w:r w:rsidR="00516FA6">
              <w:rPr>
                <w:rStyle w:val="SubtleReference"/>
                <w:smallCaps/>
                <w:color w:val="828282" w:themeColor="text1" w:themeTint="A6"/>
                <w:sz w:val="18"/>
                <w:szCs w:val="18"/>
                <w:u w:val="none"/>
              </w:rPr>
              <w:t>2</w:t>
            </w:r>
            <w:r w:rsidR="00516FA6" w:rsidRPr="00C63FFC">
              <w:rPr>
                <w:rStyle w:val="SubtleReference"/>
                <w:smallCaps/>
                <w:color w:val="828282" w:themeColor="text1" w:themeTint="A6"/>
                <w:sz w:val="18"/>
                <w:szCs w:val="18"/>
                <w:u w:val="none"/>
              </w:rPr>
              <w:t xml:space="preserve"> </w:t>
            </w:r>
            <w:r w:rsidRPr="00C63FFC">
              <w:rPr>
                <w:rStyle w:val="SubtleReference"/>
                <w:smallCaps/>
                <w:color w:val="828282" w:themeColor="text1" w:themeTint="A6"/>
                <w:sz w:val="18"/>
                <w:szCs w:val="18"/>
                <w:u w:val="none"/>
              </w:rPr>
              <w:t xml:space="preserve">: Critères de priorisation géographique par domaines et populations </w:t>
            </w:r>
            <w:r w:rsidR="0002374C" w:rsidRPr="00084F75">
              <w:rPr>
                <w:i/>
                <w:iCs/>
              </w:rPr>
              <w:t xml:space="preserve">(Annexe </w:t>
            </w:r>
            <w:r w:rsidR="0002374C">
              <w:rPr>
                <w:i/>
                <w:iCs/>
              </w:rPr>
              <w:t>3</w:t>
            </w:r>
            <w:r w:rsidR="0002374C" w:rsidRPr="00084F75">
              <w:rPr>
                <w:i/>
                <w:iCs/>
              </w:rPr>
              <w:t>)</w:t>
            </w:r>
            <w:r w:rsidR="00B07FA0">
              <w:rPr>
                <w:rStyle w:val="SubtleReference"/>
                <w:smallCaps/>
                <w:color w:val="828282" w:themeColor="text1" w:themeTint="A6"/>
                <w:sz w:val="18"/>
                <w:szCs w:val="18"/>
                <w:u w:val="none"/>
              </w:rPr>
              <w:t xml:space="preserve"> </w:t>
            </w:r>
          </w:p>
          <w:p w14:paraId="5297C95A" w14:textId="53B0CF3A" w:rsidR="00700A4E" w:rsidRPr="00553321" w:rsidRDefault="000F1326" w:rsidP="00C63FFC">
            <w:pPr>
              <w:pStyle w:val="Texteformulaire"/>
              <w:rPr>
                <w:lang w:val="fr-FR"/>
              </w:rPr>
            </w:pPr>
            <w:r w:rsidRPr="00553321">
              <w:rPr>
                <w:lang w:val="fr-FR"/>
              </w:rPr>
              <w:t>Concernant le processus de p</w:t>
            </w:r>
            <w:r w:rsidR="00700A4E" w:rsidRPr="00553321">
              <w:rPr>
                <w:lang w:val="fr-FR"/>
              </w:rPr>
              <w:t>riorisation pour l</w:t>
            </w:r>
            <w:r w:rsidRPr="00553321">
              <w:rPr>
                <w:lang w:val="fr-FR"/>
              </w:rPr>
              <w:t xml:space="preserve">a présente requête de financement au Fonds mondial, il s’est calqué sur celui du PSN, mais a pris en compte quelques </w:t>
            </w:r>
            <w:proofErr w:type="spellStart"/>
            <w:r w:rsidR="000B2F82" w:rsidRPr="00553321">
              <w:rPr>
                <w:lang w:val="fr-FR"/>
              </w:rPr>
              <w:t>crières</w:t>
            </w:r>
            <w:proofErr w:type="spellEnd"/>
            <w:r w:rsidRPr="00553321">
              <w:rPr>
                <w:lang w:val="fr-FR"/>
              </w:rPr>
              <w:t xml:space="preserve"> supplémentaires :</w:t>
            </w:r>
            <w:r w:rsidR="00700A4E" w:rsidRPr="00553321">
              <w:rPr>
                <w:lang w:val="fr-FR"/>
              </w:rPr>
              <w:t xml:space="preserve"> </w:t>
            </w:r>
          </w:p>
          <w:p w14:paraId="42422297" w14:textId="4C9153F6" w:rsidR="004F509E" w:rsidRPr="00750CA9" w:rsidRDefault="000B2F82" w:rsidP="00750CA9">
            <w:pPr>
              <w:pStyle w:val="liste1"/>
            </w:pPr>
            <w:r w:rsidRPr="00553321">
              <w:t>L</w:t>
            </w:r>
            <w:r w:rsidR="003705BA" w:rsidRPr="00553321">
              <w:t>’analyse</w:t>
            </w:r>
            <w:r w:rsidR="003705BA" w:rsidRPr="00750CA9">
              <w:rPr>
                <w:lang w:val="en-US"/>
              </w:rPr>
              <w:t xml:space="preserve"> de la </w:t>
            </w:r>
            <w:proofErr w:type="spellStart"/>
            <w:r w:rsidR="003705BA" w:rsidRPr="00750CA9">
              <w:rPr>
                <w:lang w:val="en-US"/>
              </w:rPr>
              <w:t>complémentarité</w:t>
            </w:r>
            <w:proofErr w:type="spellEnd"/>
            <w:r w:rsidR="003705BA" w:rsidRPr="00750CA9">
              <w:rPr>
                <w:lang w:val="en-US"/>
              </w:rPr>
              <w:t xml:space="preserve"> des </w:t>
            </w:r>
            <w:proofErr w:type="spellStart"/>
            <w:r w:rsidR="003705BA" w:rsidRPr="00750CA9">
              <w:rPr>
                <w:lang w:val="en-US"/>
              </w:rPr>
              <w:t>financements</w:t>
            </w:r>
            <w:proofErr w:type="spellEnd"/>
            <w:r w:rsidRPr="00553321">
              <w:t xml:space="preserve">, prenant en compte les </w:t>
            </w:r>
            <w:proofErr w:type="spellStart"/>
            <w:r w:rsidR="003705BA" w:rsidRPr="00750CA9">
              <w:rPr>
                <w:lang w:val="en-US"/>
              </w:rPr>
              <w:t>financements</w:t>
            </w:r>
            <w:proofErr w:type="spellEnd"/>
            <w:r w:rsidR="003705BA" w:rsidRPr="00750CA9">
              <w:rPr>
                <w:lang w:val="en-US"/>
              </w:rPr>
              <w:t xml:space="preserve"> domestiques, </w:t>
            </w:r>
            <w:r w:rsidRPr="00553321">
              <w:t xml:space="preserve">les financements du </w:t>
            </w:r>
            <w:r w:rsidR="003705BA" w:rsidRPr="00750CA9">
              <w:rPr>
                <w:lang w:val="en-US"/>
              </w:rPr>
              <w:t>PEPFAR</w:t>
            </w:r>
            <w:r w:rsidRPr="00553321">
              <w:t xml:space="preserve"> et ceux des</w:t>
            </w:r>
            <w:r w:rsidR="003705BA" w:rsidRPr="00750CA9">
              <w:rPr>
                <w:lang w:val="en-US"/>
              </w:rPr>
              <w:t xml:space="preserve"> </w:t>
            </w:r>
            <w:proofErr w:type="spellStart"/>
            <w:r w:rsidR="003705BA" w:rsidRPr="00750CA9">
              <w:rPr>
                <w:lang w:val="en-US"/>
              </w:rPr>
              <w:t>autres</w:t>
            </w:r>
            <w:proofErr w:type="spellEnd"/>
            <w:r w:rsidR="003705BA" w:rsidRPr="00750CA9">
              <w:rPr>
                <w:lang w:val="en-US"/>
              </w:rPr>
              <w:t xml:space="preserve"> </w:t>
            </w:r>
            <w:r w:rsidRPr="00553321">
              <w:t>partenaires (système des Nations Unies, AFD/Expertise France, UNITAID, KFW, etc.</w:t>
            </w:r>
            <w:r w:rsidR="003705BA" w:rsidRPr="00553321">
              <w:t>)</w:t>
            </w:r>
            <w:r w:rsidRPr="00553321">
              <w:t> ;</w:t>
            </w:r>
            <w:r w:rsidR="003705BA" w:rsidRPr="00553321">
              <w:t xml:space="preserve"> </w:t>
            </w:r>
            <w:r w:rsidR="00CE325F">
              <w:t>c</w:t>
            </w:r>
            <w:r w:rsidRPr="00553321">
              <w:t xml:space="preserve">ette </w:t>
            </w:r>
            <w:r w:rsidR="00C63FFC" w:rsidRPr="00553321">
              <w:t>analyse</w:t>
            </w:r>
            <w:r w:rsidR="00C63FFC" w:rsidRPr="00750CA9">
              <w:t xml:space="preserve"> de</w:t>
            </w:r>
            <w:r w:rsidR="004070BB" w:rsidRPr="00750CA9">
              <w:t xml:space="preserve"> la complémentarité des financements a donné lieu à plusieurs s</w:t>
            </w:r>
            <w:r w:rsidR="003705BA" w:rsidRPr="00750CA9">
              <w:t xml:space="preserve">essions de travail </w:t>
            </w:r>
            <w:r w:rsidR="004070BB" w:rsidRPr="00750CA9">
              <w:t xml:space="preserve">réunissant </w:t>
            </w:r>
            <w:r w:rsidRPr="00553321">
              <w:t xml:space="preserve">notamment </w:t>
            </w:r>
            <w:r w:rsidR="004070BB" w:rsidRPr="00750CA9">
              <w:t xml:space="preserve">le </w:t>
            </w:r>
            <w:r w:rsidR="003705BA" w:rsidRPr="00750CA9">
              <w:t>PNLS, Alliance</w:t>
            </w:r>
            <w:r w:rsidR="004070BB" w:rsidRPr="00750CA9">
              <w:t xml:space="preserve"> Côte d’Ivoire</w:t>
            </w:r>
            <w:r w:rsidRPr="00750CA9">
              <w:t xml:space="preserve"> et</w:t>
            </w:r>
            <w:r w:rsidR="004070BB" w:rsidRPr="00750CA9">
              <w:t xml:space="preserve"> le</w:t>
            </w:r>
            <w:r w:rsidR="003705BA" w:rsidRPr="00750CA9">
              <w:t xml:space="preserve"> </w:t>
            </w:r>
            <w:r w:rsidR="003705BA" w:rsidRPr="00553321">
              <w:t>PEPFAR</w:t>
            </w:r>
            <w:r w:rsidRPr="00553321">
              <w:t>,</w:t>
            </w:r>
            <w:r w:rsidR="003705BA" w:rsidRPr="00750CA9">
              <w:t xml:space="preserve"> pour cadrer les interventions respectives</w:t>
            </w:r>
            <w:r w:rsidR="00C63FFC" w:rsidRPr="00750CA9">
              <w:t xml:space="preserve"> et préciser le contenu de la présente demande de financement</w:t>
            </w:r>
            <w:r w:rsidRPr="00553321">
              <w:t> ;</w:t>
            </w:r>
          </w:p>
          <w:p w14:paraId="411B3F5B" w14:textId="254F01DF" w:rsidR="000B2F82" w:rsidRDefault="00CE325F" w:rsidP="000B2F82">
            <w:pPr>
              <w:pStyle w:val="liste1"/>
            </w:pPr>
            <w:r>
              <w:lastRenderedPageBreak/>
              <w:t xml:space="preserve">Les propositions issues </w:t>
            </w:r>
            <w:r w:rsidR="000B2F82">
              <w:t>d</w:t>
            </w:r>
            <w:r w:rsidR="00BC6D5F">
              <w:t>es D</w:t>
            </w:r>
            <w:r w:rsidR="000B2F82">
              <w:t>ialogue</w:t>
            </w:r>
            <w:r w:rsidR="00BC6D5F">
              <w:t>s</w:t>
            </w:r>
            <w:r w:rsidR="000B2F82">
              <w:t xml:space="preserve"> Pays organisé par le CCM</w:t>
            </w:r>
            <w:r w:rsidR="00BC6D5F">
              <w:t>-CI</w:t>
            </w:r>
            <w:r w:rsidR="000B2F82">
              <w:t xml:space="preserve"> (le 22 janvier et le 15 mai</w:t>
            </w:r>
            <w:r w:rsidR="0002374C">
              <w:t xml:space="preserve"> - </w:t>
            </w:r>
            <w:r w:rsidR="0002374C" w:rsidRPr="00084F75">
              <w:rPr>
                <w:i/>
                <w:iCs/>
              </w:rPr>
              <w:t>Annexe</w:t>
            </w:r>
            <w:r w:rsidR="0002374C">
              <w:rPr>
                <w:i/>
                <w:iCs/>
              </w:rPr>
              <w:t>s</w:t>
            </w:r>
            <w:r w:rsidR="0002374C" w:rsidRPr="00084F75">
              <w:rPr>
                <w:i/>
                <w:iCs/>
              </w:rPr>
              <w:t xml:space="preserve"> </w:t>
            </w:r>
            <w:r w:rsidR="0002374C">
              <w:rPr>
                <w:i/>
                <w:iCs/>
              </w:rPr>
              <w:t>24 et 25</w:t>
            </w:r>
            <w:r w:rsidR="0002374C">
              <w:t>)</w:t>
            </w:r>
            <w:r>
              <w:t xml:space="preserve"> le</w:t>
            </w:r>
            <w:r w:rsidR="00BC6D5F">
              <w:t>s</w:t>
            </w:r>
            <w:r>
              <w:t>quel</w:t>
            </w:r>
            <w:r w:rsidR="00BC6D5F">
              <w:t xml:space="preserve">s ont </w:t>
            </w:r>
            <w:r w:rsidR="00553321">
              <w:t xml:space="preserve">permis de présenter la priorisation à </w:t>
            </w:r>
            <w:r w:rsidR="00553321" w:rsidRPr="00025A16">
              <w:t xml:space="preserve">toutes les parties prenantes dans </w:t>
            </w:r>
            <w:r w:rsidR="00553321">
              <w:t>un</w:t>
            </w:r>
            <w:r w:rsidR="00553321" w:rsidRPr="00025A16">
              <w:t xml:space="preserve"> processus </w:t>
            </w:r>
            <w:r w:rsidR="00553321">
              <w:t>inclusif et participatif large, malgré les conditions particulières de tenue de la deuxième session au mois de mai (effectuée à travers une plateforme internet de visioconférence, du fait de la crise sanitaire COVID-19) ;</w:t>
            </w:r>
          </w:p>
          <w:p w14:paraId="4CBEABB7" w14:textId="1B01F8EE" w:rsidR="00553321" w:rsidRDefault="00553321" w:rsidP="00553321">
            <w:pPr>
              <w:pStyle w:val="liste1"/>
            </w:pPr>
            <w:r>
              <w:t>Les propositions issues du Dialogue Communautaire (organisé le 12 mai par Alliance Côte d’Ivoire avec les différents réseaux et plateformes des acteurs communautaires, en particulier les OBC de populations clés</w:t>
            </w:r>
            <w:r w:rsidR="00BC6D5F">
              <w:t xml:space="preserve"> </w:t>
            </w:r>
            <w:r w:rsidR="0002374C" w:rsidRPr="00084F75">
              <w:rPr>
                <w:i/>
                <w:iCs/>
              </w:rPr>
              <w:t xml:space="preserve">(Annexe </w:t>
            </w:r>
            <w:r w:rsidR="0002374C">
              <w:rPr>
                <w:i/>
                <w:iCs/>
              </w:rPr>
              <w:t>26</w:t>
            </w:r>
            <w:r w:rsidR="0002374C" w:rsidRPr="00084F75">
              <w:rPr>
                <w:i/>
                <w:iCs/>
              </w:rPr>
              <w:t>)</w:t>
            </w:r>
            <w:r>
              <w:t xml:space="preserve">, lequel a permis de présenter la priorisation à </w:t>
            </w:r>
            <w:r w:rsidRPr="00025A16">
              <w:t>toutes les parties prenantes</w:t>
            </w:r>
            <w:r>
              <w:t xml:space="preserve"> communautaires</w:t>
            </w:r>
            <w:r w:rsidRPr="00025A16">
              <w:t xml:space="preserve"> dans </w:t>
            </w:r>
            <w:r>
              <w:t>un</w:t>
            </w:r>
            <w:r w:rsidRPr="00025A16">
              <w:t xml:space="preserve"> processus </w:t>
            </w:r>
            <w:r>
              <w:t>inclusif et participatif large, malgré les conditions particulières de tenue liée à la crise sanitaire COVID-19 (visioconférence) ;</w:t>
            </w:r>
          </w:p>
          <w:p w14:paraId="2D5844A1" w14:textId="2D2F1A31" w:rsidR="00553321" w:rsidRDefault="00CE325F" w:rsidP="000B2F82">
            <w:pPr>
              <w:pStyle w:val="liste1"/>
            </w:pPr>
            <w:r>
              <w:t>Les enseignements tirés de la mise en œuvre (</w:t>
            </w:r>
            <w:r w:rsidRPr="0002374C">
              <w:rPr>
                <w:i/>
                <w:iCs/>
              </w:rPr>
              <w:t>cf. section 1.3</w:t>
            </w:r>
            <w:r>
              <w:t>)</w:t>
            </w:r>
            <w:r w:rsidR="00553321">
              <w:t> ;</w:t>
            </w:r>
          </w:p>
          <w:p w14:paraId="336FC3DB" w14:textId="497F2DD5" w:rsidR="00553321" w:rsidRPr="000B2F82" w:rsidRDefault="00553321" w:rsidP="003A79C4">
            <w:pPr>
              <w:pStyle w:val="liste1"/>
            </w:pPr>
            <w:r>
              <w:t>La prise en compte des suggestions des différents partenaires techniques et financiers de la réponse au VIH en Côte d’Ivoire (notamment la « Revue par les pairs » organisée en mai 2020).</w:t>
            </w:r>
          </w:p>
          <w:p w14:paraId="773BB24A" w14:textId="77777777" w:rsidR="00FD28F4" w:rsidRPr="00E80CEF" w:rsidRDefault="00FD28F4" w:rsidP="00750CA9">
            <w:pPr>
              <w:pStyle w:val="Texteformulaire"/>
            </w:pPr>
          </w:p>
        </w:tc>
      </w:tr>
    </w:tbl>
    <w:p w14:paraId="6BABC0D7" w14:textId="3711F41D" w:rsidR="00FD28F4" w:rsidRPr="00390EA4" w:rsidRDefault="00FD28F4" w:rsidP="009B6C0D">
      <w:pPr>
        <w:pStyle w:val="NoSpacing"/>
        <w:rPr>
          <w:lang w:val="fr-FR"/>
        </w:rPr>
      </w:pPr>
    </w:p>
    <w:p w14:paraId="46CEC7B0" w14:textId="006C7415" w:rsidR="00F22610" w:rsidRPr="00E80CEF" w:rsidRDefault="00F22610" w:rsidP="009B6C0D">
      <w:pPr>
        <w:spacing w:after="0" w:line="0" w:lineRule="auto"/>
      </w:pPr>
      <w:r w:rsidRPr="00E80CEF">
        <w:br w:type="page"/>
      </w:r>
    </w:p>
    <w:p w14:paraId="07A88DAF" w14:textId="3E0E5376" w:rsidR="0098274C" w:rsidRPr="004F1255" w:rsidRDefault="0098274C" w:rsidP="00E80CEF">
      <w:pPr>
        <w:pStyle w:val="Heading2"/>
        <w:numPr>
          <w:ilvl w:val="1"/>
          <w:numId w:val="25"/>
        </w:numPr>
        <w:shd w:val="clear" w:color="auto" w:fill="D9D9D9" w:themeFill="background1" w:themeFillShade="D9"/>
        <w:spacing w:before="0"/>
        <w:contextualSpacing/>
      </w:pPr>
      <w:r w:rsidRPr="004F1255">
        <w:lastRenderedPageBreak/>
        <w:t xml:space="preserve">Priorités de financement </w:t>
      </w:r>
    </w:p>
    <w:p w14:paraId="0EE0552E" w14:textId="77777777" w:rsidR="009B6C0D" w:rsidRDefault="009B6C0D" w:rsidP="009B6C0D">
      <w:pPr>
        <w:pStyle w:val="ListParagraph"/>
        <w:spacing w:after="0" w:line="260" w:lineRule="atLeast"/>
        <w:ind w:left="450"/>
        <w:rPr>
          <w:rFonts w:eastAsia="Calibri"/>
        </w:rPr>
      </w:pPr>
    </w:p>
    <w:p w14:paraId="68502E24" w14:textId="7297E515" w:rsidR="0098274C" w:rsidRPr="00D236CA" w:rsidRDefault="0098274C" w:rsidP="00A140D5">
      <w:pPr>
        <w:pStyle w:val="ListParagraph"/>
        <w:numPr>
          <w:ilvl w:val="0"/>
          <w:numId w:val="20"/>
        </w:numPr>
        <w:spacing w:after="0" w:line="260" w:lineRule="atLeast"/>
        <w:ind w:left="450" w:hanging="450"/>
      </w:pPr>
      <w:r w:rsidRPr="00E80CEF">
        <w:t xml:space="preserve">En s’appuyant sur le </w:t>
      </w:r>
      <w:hyperlink r:id="rId27" w:history="1">
        <w:r w:rsidRPr="00D1577B">
          <w:rPr>
            <w:rStyle w:val="Hyperlink"/>
            <w:rFonts w:eastAsia="Calibri"/>
            <w:lang w:val="fr-FR" w:bidi="fr-FR"/>
          </w:rPr>
          <w:t>cadre modulaire du Fonds mondial</w:t>
        </w:r>
      </w:hyperlink>
      <w:r w:rsidRPr="00E80CEF">
        <w:t xml:space="preserve">, utiliser le tableau ci-dessous pour détailler </w:t>
      </w:r>
      <w:r w:rsidRPr="004F1255">
        <w:rPr>
          <w:b/>
          <w:u w:val="single"/>
        </w:rPr>
        <w:t>chaque</w:t>
      </w:r>
      <w:r w:rsidRPr="002F3609">
        <w:rPr>
          <w:b/>
        </w:rPr>
        <w:t xml:space="preserve"> module prioritaire</w:t>
      </w:r>
      <w:r w:rsidRPr="004F1255">
        <w:t xml:space="preserve"> proposé pour investissement par le Fonds mondial en faveur des composantes de maladies pertinentes et/ou de systèmes résistants et pérennes pour la santé (SRPS).  </w:t>
      </w:r>
    </w:p>
    <w:p w14:paraId="6707046D" w14:textId="1C2F0DE7" w:rsidR="0098274C" w:rsidRPr="00D236CA" w:rsidRDefault="0098274C" w:rsidP="009B6C0D">
      <w:pPr>
        <w:spacing w:after="0"/>
        <w:ind w:left="450"/>
      </w:pPr>
      <w:bookmarkStart w:id="12" w:name="_Hlk8921192"/>
      <w:bookmarkEnd w:id="12"/>
    </w:p>
    <w:tbl>
      <w:tblPr>
        <w:tblStyle w:val="TableGrid"/>
        <w:tblW w:w="10795" w:type="dxa"/>
        <w:tblLook w:val="04A0" w:firstRow="1" w:lastRow="0" w:firstColumn="1" w:lastColumn="0" w:noHBand="0" w:noVBand="1"/>
      </w:tblPr>
      <w:tblGrid>
        <w:gridCol w:w="10795"/>
      </w:tblGrid>
      <w:tr w:rsidR="0098274C" w:rsidRPr="001F5D71" w14:paraId="08136033" w14:textId="77777777" w:rsidTr="000E257D">
        <w:tc>
          <w:tcPr>
            <w:tcW w:w="10795" w:type="dxa"/>
          </w:tcPr>
          <w:p w14:paraId="007AF4F1" w14:textId="6C7C1A97" w:rsidR="0098274C" w:rsidRPr="00D236CA" w:rsidRDefault="0098274C" w:rsidP="00E80CEF">
            <w:pPr>
              <w:spacing w:after="0"/>
              <w:rPr>
                <w:i/>
              </w:rPr>
            </w:pPr>
            <w:bookmarkStart w:id="13" w:name="_Hlk11328283"/>
            <w:bookmarkStart w:id="14" w:name="_Hlk11328334"/>
            <w:bookmarkStart w:id="15" w:name="_Hlk11328321"/>
            <w:r w:rsidRPr="004A6887">
              <w:rPr>
                <w:b/>
              </w:rPr>
              <w:t xml:space="preserve">COMPOSANTE : </w:t>
            </w:r>
            <w:bookmarkEnd w:id="13"/>
            <w:r w:rsidR="004E4290" w:rsidRPr="002C5494">
              <w:rPr>
                <w:b/>
              </w:rPr>
              <w:t>VIH</w:t>
            </w:r>
          </w:p>
        </w:tc>
      </w:tr>
      <w:bookmarkEnd w:id="14"/>
      <w:bookmarkEnd w:id="15"/>
    </w:tbl>
    <w:p w14:paraId="6A5E432B" w14:textId="77777777" w:rsidR="0098274C" w:rsidRPr="00E80CEF" w:rsidRDefault="0098274C" w:rsidP="009B6C0D">
      <w:pPr>
        <w:spacing w:after="0"/>
      </w:pPr>
    </w:p>
    <w:tbl>
      <w:tblPr>
        <w:tblStyle w:val="TableGrid30"/>
        <w:tblW w:w="10800" w:type="dxa"/>
        <w:tblInd w:w="-5" w:type="dxa"/>
        <w:tblLook w:val="04A0" w:firstRow="1" w:lastRow="0" w:firstColumn="1" w:lastColumn="0" w:noHBand="0" w:noVBand="1"/>
      </w:tblPr>
      <w:tblGrid>
        <w:gridCol w:w="1701"/>
        <w:gridCol w:w="9099"/>
      </w:tblGrid>
      <w:tr w:rsidR="0098274C" w:rsidRPr="00390EA4" w14:paraId="453CB7FC" w14:textId="77777777" w:rsidTr="00390EA4">
        <w:trPr>
          <w:trHeight w:val="288"/>
        </w:trPr>
        <w:tc>
          <w:tcPr>
            <w:tcW w:w="1701" w:type="dxa"/>
            <w:shd w:val="clear" w:color="auto" w:fill="F2F2F2"/>
            <w:vAlign w:val="center"/>
          </w:tcPr>
          <w:p w14:paraId="3D43A844" w14:textId="073366A3" w:rsidR="0098274C" w:rsidRPr="00390EA4" w:rsidRDefault="0098274C" w:rsidP="00390EA4">
            <w:pPr>
              <w:spacing w:after="0"/>
              <w:rPr>
                <w:b/>
                <w:sz w:val="22"/>
                <w:szCs w:val="22"/>
              </w:rPr>
            </w:pPr>
            <w:proofErr w:type="gramStart"/>
            <w:r w:rsidRPr="00390EA4">
              <w:rPr>
                <w:b/>
                <w:sz w:val="22"/>
                <w:szCs w:val="22"/>
                <w:lang w:bidi="fr-FR"/>
              </w:rPr>
              <w:t>N</w:t>
            </w:r>
            <w:r w:rsidRPr="00390EA4">
              <w:rPr>
                <w:b/>
                <w:sz w:val="22"/>
                <w:szCs w:val="22"/>
                <w:vertAlign w:val="superscript"/>
                <w:lang w:bidi="fr-FR"/>
              </w:rPr>
              <w:t>o</w:t>
            </w:r>
            <w:proofErr w:type="gramEnd"/>
            <w:r w:rsidRPr="00390EA4">
              <w:rPr>
                <w:b/>
                <w:sz w:val="22"/>
                <w:szCs w:val="22"/>
                <w:lang w:bidi="fr-FR"/>
              </w:rPr>
              <w:t xml:space="preserve"> de module</w:t>
            </w:r>
          </w:p>
        </w:tc>
        <w:tc>
          <w:tcPr>
            <w:tcW w:w="9099" w:type="dxa"/>
            <w:vAlign w:val="center"/>
          </w:tcPr>
          <w:p w14:paraId="679B208D" w14:textId="03FA6D8C" w:rsidR="0098274C" w:rsidRPr="00390EA4" w:rsidRDefault="00D15EE6" w:rsidP="00390EA4">
            <w:pPr>
              <w:pStyle w:val="NormalJBGS"/>
              <w:rPr>
                <w:b/>
                <w:i w:val="0"/>
                <w:sz w:val="22"/>
                <w:szCs w:val="22"/>
                <w:lang w:val="fr-FR"/>
              </w:rPr>
            </w:pPr>
            <w:r w:rsidRPr="00390EA4">
              <w:rPr>
                <w:b/>
                <w:i w:val="0"/>
                <w:color w:val="auto"/>
                <w:sz w:val="22"/>
                <w:szCs w:val="22"/>
                <w:lang w:val="fr-FR"/>
              </w:rPr>
              <w:t>Module 1 : Prévention</w:t>
            </w:r>
          </w:p>
        </w:tc>
      </w:tr>
      <w:tr w:rsidR="0098274C" w:rsidRPr="00F00BB3" w14:paraId="10C1B12F" w14:textId="77777777" w:rsidTr="007A0F0B">
        <w:trPr>
          <w:trHeight w:val="288"/>
        </w:trPr>
        <w:tc>
          <w:tcPr>
            <w:tcW w:w="1701" w:type="dxa"/>
            <w:shd w:val="clear" w:color="auto" w:fill="F2F2F2"/>
            <w:vAlign w:val="center"/>
          </w:tcPr>
          <w:p w14:paraId="456B1491" w14:textId="3EB96621" w:rsidR="0098274C" w:rsidRPr="007F7A64" w:rsidRDefault="0098274C" w:rsidP="00E80CEF">
            <w:pPr>
              <w:spacing w:after="0"/>
              <w:rPr>
                <w:b/>
              </w:rPr>
            </w:pPr>
            <w:proofErr w:type="spellStart"/>
            <w:r w:rsidRPr="007F7A64">
              <w:rPr>
                <w:b/>
                <w:lang w:bidi="fr-FR"/>
              </w:rPr>
              <w:t>Principales</w:t>
            </w:r>
            <w:proofErr w:type="spellEnd"/>
            <w:r w:rsidRPr="007F7A64">
              <w:rPr>
                <w:b/>
                <w:lang w:bidi="fr-FR"/>
              </w:rPr>
              <w:t xml:space="preserve"> interventions et </w:t>
            </w:r>
            <w:proofErr w:type="spellStart"/>
            <w:r w:rsidRPr="007F7A64">
              <w:rPr>
                <w:b/>
                <w:lang w:bidi="fr-FR"/>
              </w:rPr>
              <w:t>activités</w:t>
            </w:r>
            <w:proofErr w:type="spellEnd"/>
          </w:p>
        </w:tc>
        <w:tc>
          <w:tcPr>
            <w:tcW w:w="9099" w:type="dxa"/>
          </w:tcPr>
          <w:p w14:paraId="48EE41CC" w14:textId="23DABEAE" w:rsidR="00F16C1A" w:rsidRPr="001B7DE0" w:rsidRDefault="00F16C1A" w:rsidP="001B7DE0">
            <w:pPr>
              <w:pStyle w:val="Default"/>
              <w:numPr>
                <w:ilvl w:val="0"/>
                <w:numId w:val="30"/>
              </w:numPr>
              <w:rPr>
                <w:b/>
                <w:sz w:val="22"/>
              </w:rPr>
            </w:pPr>
            <w:proofErr w:type="spellStart"/>
            <w:r w:rsidRPr="00306FB8">
              <w:rPr>
                <w:b/>
                <w:sz w:val="22"/>
              </w:rPr>
              <w:t>Programmation</w:t>
            </w:r>
            <w:proofErr w:type="spellEnd"/>
            <w:r w:rsidRPr="00306FB8">
              <w:rPr>
                <w:b/>
                <w:sz w:val="22"/>
              </w:rPr>
              <w:t xml:space="preserve"> relative aux </w:t>
            </w:r>
            <w:proofErr w:type="spellStart"/>
            <w:r w:rsidRPr="00306FB8">
              <w:rPr>
                <w:b/>
                <w:sz w:val="22"/>
              </w:rPr>
              <w:t>préservatifs</w:t>
            </w:r>
            <w:proofErr w:type="spellEnd"/>
            <w:r w:rsidRPr="00306FB8">
              <w:rPr>
                <w:b/>
                <w:sz w:val="22"/>
              </w:rPr>
              <w:t xml:space="preserve"> et aux </w:t>
            </w:r>
            <w:proofErr w:type="spellStart"/>
            <w:r w:rsidRPr="00306FB8">
              <w:rPr>
                <w:b/>
                <w:sz w:val="22"/>
              </w:rPr>
              <w:t>lubrifiants</w:t>
            </w:r>
            <w:proofErr w:type="spellEnd"/>
          </w:p>
          <w:p w14:paraId="358455B1" w14:textId="04D64BAA" w:rsidR="00437468" w:rsidRPr="00390EA4" w:rsidRDefault="007524CE">
            <w:pPr>
              <w:pStyle w:val="Texteformulaire"/>
              <w:rPr>
                <w:lang w:val="fr-FR"/>
              </w:rPr>
            </w:pPr>
            <w:r w:rsidRPr="00390EA4">
              <w:rPr>
                <w:lang w:val="fr-FR"/>
              </w:rPr>
              <w:t xml:space="preserve">L'offre de préservatifs gratuits par le secteur public sera augmentée, notamment en direction des </w:t>
            </w:r>
            <w:proofErr w:type="spellStart"/>
            <w:r w:rsidRPr="00390EA4">
              <w:rPr>
                <w:lang w:val="fr-FR"/>
              </w:rPr>
              <w:t>KPs</w:t>
            </w:r>
            <w:proofErr w:type="spellEnd"/>
            <w:r w:rsidRPr="00390EA4">
              <w:rPr>
                <w:lang w:val="fr-FR"/>
              </w:rPr>
              <w:t xml:space="preserve"> et populations vulnérables. La modélisation réalisée par Avenir Health a</w:t>
            </w:r>
            <w:r>
              <w:rPr>
                <w:lang w:val="fr-FR"/>
              </w:rPr>
              <w:t xml:space="preserve"> en effet</w:t>
            </w:r>
            <w:r w:rsidRPr="00390EA4">
              <w:rPr>
                <w:lang w:val="fr-FR"/>
              </w:rPr>
              <w:t xml:space="preserve"> indiqué que les préservatifs étaient la deuxième intervention de pr</w:t>
            </w:r>
            <w:r>
              <w:rPr>
                <w:lang w:val="fr-FR"/>
              </w:rPr>
              <w:t>é</w:t>
            </w:r>
            <w:r w:rsidRPr="00390EA4">
              <w:rPr>
                <w:lang w:val="fr-FR"/>
              </w:rPr>
              <w:t>vention la plus rentable</w:t>
            </w:r>
            <w:r w:rsidR="009360FD">
              <w:rPr>
                <w:lang w:val="fr-FR"/>
              </w:rPr>
              <w:t xml:space="preserve"> après la sensibilisation auprès des TS</w:t>
            </w:r>
            <w:r w:rsidRPr="00390EA4">
              <w:rPr>
                <w:lang w:val="fr-FR"/>
              </w:rPr>
              <w:t xml:space="preserve">. </w:t>
            </w:r>
          </w:p>
          <w:p w14:paraId="3B61B2B5" w14:textId="3CCE8571" w:rsidR="00437468" w:rsidRDefault="00F16C1A" w:rsidP="005010EE">
            <w:pPr>
              <w:pStyle w:val="Texteformulaire"/>
              <w:rPr>
                <w:lang w:val="fr-FR"/>
              </w:rPr>
            </w:pPr>
            <w:r w:rsidRPr="00390EA4">
              <w:rPr>
                <w:lang w:val="fr-FR"/>
              </w:rPr>
              <w:t>Il s’ag</w:t>
            </w:r>
            <w:r w:rsidR="007524CE">
              <w:rPr>
                <w:lang w:val="fr-FR"/>
              </w:rPr>
              <w:t>ira</w:t>
            </w:r>
            <w:r w:rsidRPr="00390EA4">
              <w:rPr>
                <w:lang w:val="fr-FR"/>
              </w:rPr>
              <w:t xml:space="preserve"> d</w:t>
            </w:r>
            <w:r w:rsidR="007524CE">
              <w:rPr>
                <w:lang w:val="fr-FR"/>
              </w:rPr>
              <w:t>e</w:t>
            </w:r>
            <w:r w:rsidRPr="00390EA4">
              <w:rPr>
                <w:lang w:val="fr-FR"/>
              </w:rPr>
              <w:t xml:space="preserve"> repositionne</w:t>
            </w:r>
            <w:r w:rsidR="007524CE">
              <w:rPr>
                <w:lang w:val="fr-FR"/>
              </w:rPr>
              <w:t>r</w:t>
            </w:r>
            <w:r w:rsidRPr="00390EA4">
              <w:rPr>
                <w:lang w:val="fr-FR"/>
              </w:rPr>
              <w:t xml:space="preserve"> la promotion de l’utilisation correcte et systématique du </w:t>
            </w:r>
            <w:proofErr w:type="spellStart"/>
            <w:r w:rsidRPr="00390EA4">
              <w:rPr>
                <w:lang w:val="fr-FR"/>
              </w:rPr>
              <w:t>preservatifs</w:t>
            </w:r>
            <w:proofErr w:type="spellEnd"/>
            <w:r w:rsidRPr="00390EA4">
              <w:rPr>
                <w:lang w:val="fr-FR"/>
              </w:rPr>
              <w:t xml:space="preserve"> lors des rapports sexuels à risque et à travers une communication plus accrue visant à déconstruire les préjugés liés au pr</w:t>
            </w:r>
            <w:r w:rsidR="0022571E">
              <w:rPr>
                <w:lang w:val="fr-FR"/>
              </w:rPr>
              <w:t>é</w:t>
            </w:r>
            <w:r w:rsidRPr="00390EA4">
              <w:rPr>
                <w:lang w:val="fr-FR"/>
              </w:rPr>
              <w:t>servatif et à le pr</w:t>
            </w:r>
            <w:r w:rsidR="00437468">
              <w:rPr>
                <w:lang w:val="fr-FR"/>
              </w:rPr>
              <w:t>é</w:t>
            </w:r>
            <w:r w:rsidRPr="00390EA4">
              <w:rPr>
                <w:lang w:val="fr-FR"/>
              </w:rPr>
              <w:t>senter comme un intrant r</w:t>
            </w:r>
            <w:r w:rsidR="00437468">
              <w:rPr>
                <w:lang w:val="fr-FR"/>
              </w:rPr>
              <w:t>é</w:t>
            </w:r>
            <w:r w:rsidRPr="00390EA4">
              <w:rPr>
                <w:lang w:val="fr-FR"/>
              </w:rPr>
              <w:t>el de pr</w:t>
            </w:r>
            <w:r w:rsidR="00437468">
              <w:rPr>
                <w:lang w:val="fr-FR"/>
              </w:rPr>
              <w:t>é</w:t>
            </w:r>
            <w:r w:rsidRPr="00390EA4">
              <w:rPr>
                <w:lang w:val="fr-FR"/>
              </w:rPr>
              <w:t xml:space="preserve">vention. </w:t>
            </w:r>
          </w:p>
          <w:p w14:paraId="1D74EC97" w14:textId="0218A326" w:rsidR="007524CE" w:rsidRDefault="00F16C1A" w:rsidP="005010EE">
            <w:pPr>
              <w:pStyle w:val="Texteformulaire"/>
              <w:rPr>
                <w:lang w:val="fr-FR"/>
              </w:rPr>
            </w:pPr>
            <w:r w:rsidRPr="00390EA4">
              <w:rPr>
                <w:lang w:val="fr-FR"/>
              </w:rPr>
              <w:t xml:space="preserve">Les radios de proximité (34) seront mises à contribution pour cette communication </w:t>
            </w:r>
            <w:r w:rsidR="002B589C" w:rsidRPr="00306FB8">
              <w:rPr>
                <w:lang w:val="fr-FR"/>
              </w:rPr>
              <w:t>renforcée</w:t>
            </w:r>
            <w:r w:rsidRPr="00390EA4">
              <w:rPr>
                <w:lang w:val="fr-FR"/>
              </w:rPr>
              <w:t xml:space="preserve"> qui se fera </w:t>
            </w:r>
            <w:proofErr w:type="spellStart"/>
            <w:r w:rsidRPr="00390EA4">
              <w:rPr>
                <w:lang w:val="fr-FR"/>
              </w:rPr>
              <w:t>egalement</w:t>
            </w:r>
            <w:proofErr w:type="spellEnd"/>
            <w:r w:rsidRPr="00390EA4">
              <w:rPr>
                <w:lang w:val="fr-FR"/>
              </w:rPr>
              <w:t xml:space="preserve"> en langue locale et par voie des NTIC (</w:t>
            </w:r>
            <w:proofErr w:type="spellStart"/>
            <w:r w:rsidRPr="00390EA4">
              <w:rPr>
                <w:lang w:val="fr-FR"/>
              </w:rPr>
              <w:t>facebook</w:t>
            </w:r>
            <w:proofErr w:type="spellEnd"/>
            <w:r w:rsidRPr="00390EA4">
              <w:rPr>
                <w:lang w:val="fr-FR"/>
              </w:rPr>
              <w:t>, twitter, plateforme SMS...).</w:t>
            </w:r>
            <w:r w:rsidR="007524CE">
              <w:rPr>
                <w:lang w:val="fr-FR"/>
              </w:rPr>
              <w:t xml:space="preserve"> </w:t>
            </w:r>
            <w:r w:rsidRPr="00390EA4">
              <w:rPr>
                <w:lang w:val="fr-FR"/>
              </w:rPr>
              <w:t>En plus de</w:t>
            </w:r>
            <w:r w:rsidRPr="00306FB8">
              <w:rPr>
                <w:lang w:val="fr-FR"/>
              </w:rPr>
              <w:t xml:space="preserve"> la</w:t>
            </w:r>
            <w:r w:rsidR="00A97EE9" w:rsidRPr="00306FB8">
              <w:rPr>
                <w:lang w:val="fr-FR"/>
              </w:rPr>
              <w:t xml:space="preserve"> sensibilisation couplée à</w:t>
            </w:r>
            <w:r w:rsidRPr="00390EA4">
              <w:rPr>
                <w:lang w:val="fr-FR"/>
              </w:rPr>
              <w:t xml:space="preserve"> la distribution gratuite classique effectuée par la </w:t>
            </w:r>
            <w:proofErr w:type="spellStart"/>
            <w:r w:rsidRPr="00390EA4">
              <w:rPr>
                <w:lang w:val="fr-FR"/>
              </w:rPr>
              <w:t>pair</w:t>
            </w:r>
            <w:proofErr w:type="spellEnd"/>
            <w:r w:rsidR="0022571E">
              <w:rPr>
                <w:lang w:val="fr-FR"/>
              </w:rPr>
              <w:t>-</w:t>
            </w:r>
            <w:r w:rsidR="007524CE">
              <w:rPr>
                <w:lang w:val="fr-FR"/>
              </w:rPr>
              <w:t>é</w:t>
            </w:r>
            <w:r w:rsidRPr="00390EA4">
              <w:rPr>
                <w:lang w:val="fr-FR"/>
              </w:rPr>
              <w:t xml:space="preserve">ducation et sur sites (centres </w:t>
            </w:r>
            <w:proofErr w:type="spellStart"/>
            <w:r w:rsidRPr="00390EA4">
              <w:rPr>
                <w:lang w:val="fr-FR"/>
              </w:rPr>
              <w:t>dediés</w:t>
            </w:r>
            <w:proofErr w:type="spellEnd"/>
            <w:r w:rsidRPr="00390EA4">
              <w:rPr>
                <w:lang w:val="fr-FR"/>
              </w:rPr>
              <w:t xml:space="preserve">, check points…), dans les points chauds et zones </w:t>
            </w:r>
            <w:proofErr w:type="spellStart"/>
            <w:r w:rsidRPr="00390EA4">
              <w:rPr>
                <w:lang w:val="fr-FR"/>
              </w:rPr>
              <w:t>regulierement</w:t>
            </w:r>
            <w:proofErr w:type="spellEnd"/>
            <w:r w:rsidRPr="00390EA4">
              <w:rPr>
                <w:lang w:val="fr-FR"/>
              </w:rPr>
              <w:t xml:space="preserve"> </w:t>
            </w:r>
            <w:proofErr w:type="spellStart"/>
            <w:r w:rsidRPr="00390EA4">
              <w:rPr>
                <w:lang w:val="fr-FR"/>
              </w:rPr>
              <w:t>frequentées</w:t>
            </w:r>
            <w:proofErr w:type="spellEnd"/>
            <w:r w:rsidRPr="00390EA4">
              <w:rPr>
                <w:lang w:val="fr-FR"/>
              </w:rPr>
              <w:t xml:space="preserve"> par les populations à risque, la disponibilité permanente des pr</w:t>
            </w:r>
            <w:r w:rsidR="007524CE">
              <w:rPr>
                <w:lang w:val="fr-FR"/>
              </w:rPr>
              <w:t>é</w:t>
            </w:r>
            <w:r w:rsidRPr="00390EA4">
              <w:rPr>
                <w:lang w:val="fr-FR"/>
              </w:rPr>
              <w:t>servatifs sera assurée par l’installation de distributeurs automatiques.</w:t>
            </w:r>
          </w:p>
          <w:p w14:paraId="14881CB6" w14:textId="0637A580" w:rsidR="00F16C1A" w:rsidRPr="00306FB8" w:rsidRDefault="00F16C1A" w:rsidP="005010EE">
            <w:pPr>
              <w:pStyle w:val="Texteformulaire"/>
              <w:rPr>
                <w:lang w:val="fr-FR"/>
              </w:rPr>
            </w:pPr>
            <w:r w:rsidRPr="00306FB8">
              <w:rPr>
                <w:lang w:val="fr-FR"/>
              </w:rPr>
              <w:t>Les principales activités de ces interventions sont</w:t>
            </w:r>
            <w:r w:rsidR="00437468" w:rsidRPr="00306FB8">
              <w:rPr>
                <w:lang w:val="fr-FR"/>
              </w:rPr>
              <w:t xml:space="preserve"> </w:t>
            </w:r>
            <w:r w:rsidRPr="00306FB8">
              <w:rPr>
                <w:lang w:val="fr-FR"/>
              </w:rPr>
              <w:t>:</w:t>
            </w:r>
          </w:p>
          <w:p w14:paraId="06D854B5" w14:textId="69A27BBD" w:rsidR="005B5740" w:rsidRPr="00306FB8" w:rsidRDefault="005B5740" w:rsidP="00306FB8">
            <w:pPr>
              <w:pStyle w:val="liste1"/>
            </w:pPr>
            <w:proofErr w:type="spellStart"/>
            <w:r w:rsidRPr="00306FB8">
              <w:t>Révision</w:t>
            </w:r>
            <w:proofErr w:type="spellEnd"/>
            <w:r w:rsidRPr="00306FB8">
              <w:t xml:space="preserve"> de la </w:t>
            </w:r>
            <w:proofErr w:type="spellStart"/>
            <w:r w:rsidRPr="00306FB8">
              <w:t>stratégie</w:t>
            </w:r>
            <w:proofErr w:type="spellEnd"/>
            <w:r w:rsidRPr="00306FB8">
              <w:t xml:space="preserve"> sur les </w:t>
            </w:r>
            <w:proofErr w:type="spellStart"/>
            <w:r w:rsidRPr="00306FB8">
              <w:t>préservatifs</w:t>
            </w:r>
            <w:proofErr w:type="spellEnd"/>
            <w:r w:rsidRPr="00306FB8">
              <w:t xml:space="preserve"> pour prendre </w:t>
            </w:r>
            <w:proofErr w:type="spellStart"/>
            <w:r w:rsidRPr="00306FB8">
              <w:t>en</w:t>
            </w:r>
            <w:proofErr w:type="spellEnd"/>
            <w:r w:rsidRPr="00306FB8">
              <w:t xml:space="preserve"> </w:t>
            </w:r>
            <w:proofErr w:type="spellStart"/>
            <w:r w:rsidRPr="00306FB8">
              <w:t>compte</w:t>
            </w:r>
            <w:proofErr w:type="spellEnd"/>
            <w:r w:rsidRPr="00306FB8">
              <w:t xml:space="preserve"> </w:t>
            </w:r>
            <w:proofErr w:type="spellStart"/>
            <w:r w:rsidRPr="00306FB8">
              <w:t>l’approche</w:t>
            </w:r>
            <w:proofErr w:type="spellEnd"/>
            <w:r w:rsidRPr="00306FB8">
              <w:t xml:space="preserve"> de </w:t>
            </w:r>
            <w:proofErr w:type="spellStart"/>
            <w:r w:rsidRPr="00306FB8">
              <w:t>marché</w:t>
            </w:r>
            <w:proofErr w:type="spellEnd"/>
            <w:r w:rsidRPr="00306FB8">
              <w:t xml:space="preserve"> total</w:t>
            </w:r>
          </w:p>
          <w:p w14:paraId="67068B71" w14:textId="0C8C8BB5" w:rsidR="00F16C1A" w:rsidRPr="00306FB8" w:rsidRDefault="00F16C1A" w:rsidP="00E6201D">
            <w:pPr>
              <w:pStyle w:val="liste1"/>
            </w:pPr>
            <w:proofErr w:type="spellStart"/>
            <w:r w:rsidRPr="00306FB8">
              <w:t>Produire</w:t>
            </w:r>
            <w:proofErr w:type="spellEnd"/>
            <w:r w:rsidRPr="00306FB8">
              <w:t xml:space="preserve"> et diffuser des spots</w:t>
            </w:r>
            <w:r w:rsidR="00A97EE9" w:rsidRPr="00306FB8">
              <w:t>, sketch, des affiches</w:t>
            </w:r>
            <w:r w:rsidRPr="00306FB8">
              <w:t xml:space="preserve"> et des prêt-à-diffuser (PAD</w:t>
            </w:r>
            <w:r w:rsidR="00437468" w:rsidRPr="00306FB8">
              <w:t xml:space="preserve"> </w:t>
            </w:r>
            <w:r w:rsidR="00A97EE9" w:rsidRPr="00306FB8">
              <w:t>: video et audio</w:t>
            </w:r>
            <w:r w:rsidRPr="00306FB8">
              <w:t xml:space="preserve">) de </w:t>
            </w:r>
            <w:proofErr w:type="spellStart"/>
            <w:r w:rsidRPr="00306FB8">
              <w:t>sensibilisation</w:t>
            </w:r>
            <w:proofErr w:type="spellEnd"/>
            <w:r w:rsidRPr="00306FB8">
              <w:t xml:space="preserve"> </w:t>
            </w:r>
            <w:proofErr w:type="spellStart"/>
            <w:r w:rsidRPr="00306FB8">
              <w:t>visant</w:t>
            </w:r>
            <w:proofErr w:type="spellEnd"/>
            <w:r w:rsidRPr="00306FB8">
              <w:t xml:space="preserve"> à </w:t>
            </w:r>
            <w:proofErr w:type="spellStart"/>
            <w:r w:rsidRPr="00306FB8">
              <w:t>déconstruire</w:t>
            </w:r>
            <w:proofErr w:type="spellEnd"/>
            <w:r w:rsidRPr="00306FB8">
              <w:t xml:space="preserve"> les </w:t>
            </w:r>
            <w:proofErr w:type="spellStart"/>
            <w:r w:rsidRPr="00306FB8">
              <w:t>préjugés</w:t>
            </w:r>
            <w:proofErr w:type="spellEnd"/>
            <w:r w:rsidRPr="00306FB8">
              <w:t xml:space="preserve"> </w:t>
            </w:r>
            <w:proofErr w:type="spellStart"/>
            <w:r w:rsidRPr="00306FB8">
              <w:t>liés</w:t>
            </w:r>
            <w:proofErr w:type="spellEnd"/>
            <w:r w:rsidRPr="00306FB8">
              <w:t xml:space="preserve"> aux </w:t>
            </w:r>
            <w:proofErr w:type="spellStart"/>
            <w:r w:rsidRPr="00306FB8">
              <w:t>préservatifs</w:t>
            </w:r>
            <w:proofErr w:type="spellEnd"/>
            <w:r w:rsidR="006F5B31">
              <w:t>/</w:t>
            </w:r>
            <w:proofErr w:type="spellStart"/>
            <w:r w:rsidR="006F5B31">
              <w:t>lubrifiants</w:t>
            </w:r>
            <w:proofErr w:type="spellEnd"/>
            <w:r w:rsidR="00B80E62" w:rsidRPr="00306FB8">
              <w:t xml:space="preserve"> et à </w:t>
            </w:r>
            <w:proofErr w:type="spellStart"/>
            <w:r w:rsidR="00B80E62" w:rsidRPr="00306FB8">
              <w:t>promouvoir</w:t>
            </w:r>
            <w:proofErr w:type="spellEnd"/>
            <w:r w:rsidR="00B80E62" w:rsidRPr="00306FB8">
              <w:t xml:space="preserve"> </w:t>
            </w:r>
            <w:proofErr w:type="spellStart"/>
            <w:r w:rsidR="00B80E62" w:rsidRPr="00306FB8">
              <w:t>l’utilisation</w:t>
            </w:r>
            <w:proofErr w:type="spellEnd"/>
            <w:r w:rsidR="00B80E62" w:rsidRPr="00306FB8">
              <w:t xml:space="preserve"> </w:t>
            </w:r>
            <w:proofErr w:type="spellStart"/>
            <w:r w:rsidR="00B80E62" w:rsidRPr="00306FB8">
              <w:t>correcte</w:t>
            </w:r>
            <w:proofErr w:type="spellEnd"/>
            <w:r w:rsidR="00B80E62" w:rsidRPr="00306FB8">
              <w:t xml:space="preserve"> et </w:t>
            </w:r>
            <w:proofErr w:type="spellStart"/>
            <w:r w:rsidR="00B80E62" w:rsidRPr="00306FB8">
              <w:t>sytsématique</w:t>
            </w:r>
            <w:proofErr w:type="spellEnd"/>
            <w:r w:rsidR="00B80E62" w:rsidRPr="00306FB8">
              <w:t xml:space="preserve"> des </w:t>
            </w:r>
            <w:proofErr w:type="spellStart"/>
            <w:r w:rsidR="00B80E62" w:rsidRPr="00306FB8">
              <w:t>préservatifs</w:t>
            </w:r>
            <w:proofErr w:type="spellEnd"/>
            <w:r w:rsidR="00B80E62" w:rsidRPr="00306FB8">
              <w:t xml:space="preserve"> </w:t>
            </w:r>
            <w:proofErr w:type="spellStart"/>
            <w:r w:rsidR="00B80E62" w:rsidRPr="00306FB8">
              <w:t>lors</w:t>
            </w:r>
            <w:proofErr w:type="spellEnd"/>
            <w:r w:rsidR="00B80E62" w:rsidRPr="00306FB8">
              <w:t xml:space="preserve"> des rapports </w:t>
            </w:r>
            <w:proofErr w:type="spellStart"/>
            <w:r w:rsidR="00B80E62" w:rsidRPr="00306FB8">
              <w:t>sexuels</w:t>
            </w:r>
            <w:proofErr w:type="spellEnd"/>
            <w:r w:rsidR="00B80E62" w:rsidRPr="00306FB8">
              <w:t xml:space="preserve"> à </w:t>
            </w:r>
            <w:proofErr w:type="spellStart"/>
            <w:r w:rsidR="00B80E62" w:rsidRPr="00306FB8">
              <w:t>risqu</w:t>
            </w:r>
            <w:r w:rsidR="00A97EE9" w:rsidRPr="00306FB8">
              <w:t>e</w:t>
            </w:r>
            <w:proofErr w:type="spellEnd"/>
            <w:r w:rsidR="00B80E62" w:rsidRPr="00306FB8">
              <w:t xml:space="preserve"> </w:t>
            </w:r>
            <w:proofErr w:type="spellStart"/>
            <w:r w:rsidR="00B80E62" w:rsidRPr="00306FB8">
              <w:t>notamment</w:t>
            </w:r>
            <w:proofErr w:type="spellEnd"/>
            <w:r w:rsidR="00B80E62" w:rsidRPr="00306FB8">
              <w:t xml:space="preserve"> chez les adoles</w:t>
            </w:r>
            <w:r w:rsidR="00A97EE9" w:rsidRPr="00306FB8">
              <w:t>cents</w:t>
            </w:r>
            <w:r w:rsidR="00D53A20">
              <w:t xml:space="preserve"> et </w:t>
            </w:r>
            <w:proofErr w:type="spellStart"/>
            <w:r w:rsidR="00D53A20">
              <w:t>jeunes</w:t>
            </w:r>
            <w:proofErr w:type="spellEnd"/>
          </w:p>
          <w:p w14:paraId="01205289" w14:textId="268EE198" w:rsidR="00F16C1A" w:rsidRPr="00306FB8" w:rsidRDefault="00F16C1A" w:rsidP="00E6201D">
            <w:pPr>
              <w:pStyle w:val="liste1"/>
            </w:pPr>
            <w:proofErr w:type="spellStart"/>
            <w:r w:rsidRPr="00306FB8">
              <w:t>Communiquer</w:t>
            </w:r>
            <w:proofErr w:type="spellEnd"/>
            <w:r w:rsidRPr="00306FB8">
              <w:t xml:space="preserve"> /</w:t>
            </w:r>
            <w:r w:rsidR="006E0BA9" w:rsidRPr="00306FB8">
              <w:t xml:space="preserve"> </w:t>
            </w:r>
            <w:r w:rsidRPr="00306FB8">
              <w:t xml:space="preserve">informer les </w:t>
            </w:r>
            <w:r w:rsidR="00653FC9">
              <w:t>KPs</w:t>
            </w:r>
            <w:r w:rsidRPr="00306FB8">
              <w:t xml:space="preserve"> sur les points de vente de </w:t>
            </w:r>
            <w:proofErr w:type="spellStart"/>
            <w:r w:rsidRPr="00306FB8">
              <w:t>préservatifs</w:t>
            </w:r>
            <w:proofErr w:type="spellEnd"/>
            <w:r w:rsidRPr="00306FB8">
              <w:t xml:space="preserve"> </w:t>
            </w:r>
            <w:r w:rsidR="00653FC9">
              <w:t xml:space="preserve">et </w:t>
            </w:r>
            <w:proofErr w:type="spellStart"/>
            <w:r w:rsidR="00653FC9">
              <w:t>lubrifiants</w:t>
            </w:r>
            <w:proofErr w:type="spellEnd"/>
            <w:r w:rsidR="00653FC9">
              <w:t xml:space="preserve"> </w:t>
            </w:r>
            <w:r w:rsidRPr="00306FB8">
              <w:t xml:space="preserve">dans le cadre du marketing social à </w:t>
            </w:r>
            <w:proofErr w:type="spellStart"/>
            <w:r w:rsidRPr="00306FB8">
              <w:t>l'aide</w:t>
            </w:r>
            <w:proofErr w:type="spellEnd"/>
            <w:r w:rsidRPr="00306FB8">
              <w:t xml:space="preserve"> </w:t>
            </w:r>
            <w:proofErr w:type="spellStart"/>
            <w:r w:rsidRPr="00306FB8">
              <w:t>d'une</w:t>
            </w:r>
            <w:proofErr w:type="spellEnd"/>
            <w:r w:rsidRPr="00306FB8">
              <w:t xml:space="preserve"> </w:t>
            </w:r>
            <w:proofErr w:type="spellStart"/>
            <w:r w:rsidRPr="00306FB8">
              <w:t>cartographie</w:t>
            </w:r>
            <w:proofErr w:type="spellEnd"/>
          </w:p>
          <w:p w14:paraId="500AF523" w14:textId="6578BD54" w:rsidR="00F16C1A" w:rsidRPr="00306FB8" w:rsidRDefault="00F16C1A" w:rsidP="00E6201D">
            <w:pPr>
              <w:pStyle w:val="liste1"/>
            </w:pPr>
            <w:proofErr w:type="spellStart"/>
            <w:r w:rsidRPr="00306FB8">
              <w:t>Acquérir</w:t>
            </w:r>
            <w:proofErr w:type="spellEnd"/>
            <w:r w:rsidRPr="00306FB8">
              <w:t xml:space="preserve"> 174 </w:t>
            </w:r>
            <w:proofErr w:type="spellStart"/>
            <w:r w:rsidRPr="00306FB8">
              <w:t>distributeurs</w:t>
            </w:r>
            <w:proofErr w:type="spellEnd"/>
            <w:r w:rsidRPr="00306FB8">
              <w:t xml:space="preserve"> </w:t>
            </w:r>
            <w:proofErr w:type="spellStart"/>
            <w:r w:rsidRPr="00306FB8">
              <w:t>automatiques</w:t>
            </w:r>
            <w:proofErr w:type="spellEnd"/>
            <w:r w:rsidRPr="00306FB8">
              <w:t xml:space="preserve"> </w:t>
            </w:r>
            <w:r w:rsidR="00653FC9" w:rsidRPr="001B7DE0">
              <w:t xml:space="preserve">de </w:t>
            </w:r>
            <w:proofErr w:type="spellStart"/>
            <w:r w:rsidR="00653FC9" w:rsidRPr="001B7DE0">
              <w:t>préservatifs</w:t>
            </w:r>
            <w:proofErr w:type="spellEnd"/>
            <w:r w:rsidR="00653FC9" w:rsidRPr="001B7DE0">
              <w:t xml:space="preserve"> </w:t>
            </w:r>
            <w:r w:rsidR="00653FC9">
              <w:t xml:space="preserve">et </w:t>
            </w:r>
            <w:proofErr w:type="spellStart"/>
            <w:r w:rsidR="00653FC9">
              <w:t>lubrifiants</w:t>
            </w:r>
            <w:proofErr w:type="spellEnd"/>
            <w:r w:rsidR="00653FC9">
              <w:t xml:space="preserve"> </w:t>
            </w:r>
            <w:r w:rsidRPr="00306FB8">
              <w:t xml:space="preserve">dans les points </w:t>
            </w:r>
            <w:proofErr w:type="spellStart"/>
            <w:r w:rsidRPr="00306FB8">
              <w:t>chauds</w:t>
            </w:r>
            <w:proofErr w:type="spellEnd"/>
            <w:r w:rsidR="00437468" w:rsidRPr="00306FB8">
              <w:t xml:space="preserve"> </w:t>
            </w:r>
            <w:r w:rsidR="00B744DE" w:rsidRPr="00306FB8">
              <w:t xml:space="preserve">(2 par districts </w:t>
            </w:r>
            <w:proofErr w:type="spellStart"/>
            <w:r w:rsidR="00B744DE" w:rsidRPr="00306FB8">
              <w:t>prioritaires</w:t>
            </w:r>
            <w:proofErr w:type="spellEnd"/>
            <w:r w:rsidR="00B744DE" w:rsidRPr="00306FB8">
              <w:t>)</w:t>
            </w:r>
          </w:p>
          <w:p w14:paraId="4F6B0F5D" w14:textId="4CE91224" w:rsidR="00F16C1A" w:rsidRPr="00306FB8" w:rsidRDefault="00F16C1A" w:rsidP="00E6201D">
            <w:pPr>
              <w:pStyle w:val="liste1"/>
              <w:rPr>
                <w:lang w:val="fr-CH"/>
              </w:rPr>
            </w:pPr>
            <w:proofErr w:type="spellStart"/>
            <w:r w:rsidRPr="00306FB8">
              <w:t>Acquérir</w:t>
            </w:r>
            <w:proofErr w:type="spellEnd"/>
            <w:r w:rsidRPr="00306FB8">
              <w:t xml:space="preserve"> 53 </w:t>
            </w:r>
            <w:proofErr w:type="spellStart"/>
            <w:r w:rsidRPr="00306FB8">
              <w:t>distributeurs</w:t>
            </w:r>
            <w:proofErr w:type="spellEnd"/>
            <w:r w:rsidRPr="00306FB8">
              <w:t xml:space="preserve"> de </w:t>
            </w:r>
            <w:proofErr w:type="spellStart"/>
            <w:r w:rsidRPr="00306FB8">
              <w:t>préservatifs</w:t>
            </w:r>
            <w:proofErr w:type="spellEnd"/>
            <w:r w:rsidRPr="00306FB8">
              <w:t xml:space="preserve"> </w:t>
            </w:r>
            <w:proofErr w:type="spellStart"/>
            <w:r w:rsidRPr="00306FB8">
              <w:t>gratuits</w:t>
            </w:r>
            <w:proofErr w:type="spellEnd"/>
            <w:r w:rsidRPr="00306FB8">
              <w:t xml:space="preserve"> (44 dans les SSSU et 9 dans les CEC) à </w:t>
            </w:r>
            <w:proofErr w:type="spellStart"/>
            <w:r w:rsidRPr="00306FB8">
              <w:t>l'intention</w:t>
            </w:r>
            <w:proofErr w:type="spellEnd"/>
            <w:r w:rsidRPr="00306FB8">
              <w:t xml:space="preserve"> des adolescents et </w:t>
            </w:r>
            <w:proofErr w:type="spellStart"/>
            <w:r w:rsidRPr="00306FB8">
              <w:t>jeunes</w:t>
            </w:r>
            <w:proofErr w:type="spellEnd"/>
            <w:r w:rsidRPr="00306FB8">
              <w:t xml:space="preserve"> dans des </w:t>
            </w:r>
            <w:proofErr w:type="spellStart"/>
            <w:r w:rsidRPr="00306FB8">
              <w:t>locaux</w:t>
            </w:r>
            <w:proofErr w:type="spellEnd"/>
            <w:r w:rsidRPr="00306FB8">
              <w:t xml:space="preserve"> </w:t>
            </w:r>
            <w:proofErr w:type="spellStart"/>
            <w:r w:rsidRPr="00306FB8">
              <w:t>sécurisés</w:t>
            </w:r>
            <w:proofErr w:type="spellEnd"/>
            <w:r w:rsidRPr="00306FB8">
              <w:t xml:space="preserve"> et </w:t>
            </w:r>
            <w:proofErr w:type="spellStart"/>
            <w:r w:rsidRPr="00306FB8">
              <w:t>accessibles</w:t>
            </w:r>
            <w:proofErr w:type="spellEnd"/>
            <w:r w:rsidRPr="00306FB8">
              <w:t xml:space="preserve"> 24H/24 et 7j/7</w:t>
            </w:r>
            <w:r w:rsidR="006E6446" w:rsidRPr="00306FB8">
              <w:t>.</w:t>
            </w:r>
          </w:p>
          <w:p w14:paraId="2469D176" w14:textId="7D6FC117" w:rsidR="00D53A20" w:rsidRDefault="00D53A20" w:rsidP="00E6201D">
            <w:pPr>
              <w:pStyle w:val="liste1"/>
            </w:pPr>
            <w:proofErr w:type="spellStart"/>
            <w:r>
              <w:t>Etablir</w:t>
            </w:r>
            <w:proofErr w:type="spellEnd"/>
            <w:r>
              <w:t xml:space="preserve"> un </w:t>
            </w:r>
            <w:proofErr w:type="spellStart"/>
            <w:r>
              <w:t>partenariat</w:t>
            </w:r>
            <w:proofErr w:type="spellEnd"/>
            <w:r>
              <w:t xml:space="preserve"> avec les </w:t>
            </w:r>
            <w:proofErr w:type="spellStart"/>
            <w:r>
              <w:t>organisations</w:t>
            </w:r>
            <w:proofErr w:type="spellEnd"/>
            <w:r>
              <w:t xml:space="preserve"> et les </w:t>
            </w:r>
            <w:proofErr w:type="spellStart"/>
            <w:r>
              <w:t>réseaux</w:t>
            </w:r>
            <w:proofErr w:type="spellEnd"/>
            <w:r>
              <w:t xml:space="preserve"> des adolescents et </w:t>
            </w:r>
            <w:proofErr w:type="spellStart"/>
            <w:r>
              <w:t>jeunes</w:t>
            </w:r>
            <w:proofErr w:type="spellEnd"/>
            <w:r>
              <w:t xml:space="preserve"> pour </w:t>
            </w:r>
            <w:proofErr w:type="spellStart"/>
            <w:r>
              <w:t>faciliter</w:t>
            </w:r>
            <w:proofErr w:type="spellEnd"/>
            <w:r>
              <w:t xml:space="preserve"> </w:t>
            </w:r>
            <w:proofErr w:type="spellStart"/>
            <w:r>
              <w:t>l</w:t>
            </w:r>
            <w:r w:rsidR="00E6201D">
              <w:t>’accès</w:t>
            </w:r>
            <w:proofErr w:type="spellEnd"/>
            <w:r w:rsidR="00E6201D">
              <w:t xml:space="preserve"> d’un </w:t>
            </w:r>
            <w:proofErr w:type="spellStart"/>
            <w:r w:rsidR="00E6201D">
              <w:t>nombre</w:t>
            </w:r>
            <w:proofErr w:type="spellEnd"/>
            <w:r w:rsidR="00E6201D">
              <w:t xml:space="preserve"> important des </w:t>
            </w:r>
            <w:proofErr w:type="spellStart"/>
            <w:r w:rsidR="00E6201D">
              <w:t>individus</w:t>
            </w:r>
            <w:proofErr w:type="spellEnd"/>
            <w:r w:rsidR="00E6201D">
              <w:t xml:space="preserve"> de </w:t>
            </w:r>
            <w:proofErr w:type="spellStart"/>
            <w:r w:rsidR="00E6201D">
              <w:t>cette</w:t>
            </w:r>
            <w:proofErr w:type="spellEnd"/>
            <w:r w:rsidR="00E6201D">
              <w:t xml:space="preserve"> tranche </w:t>
            </w:r>
            <w:proofErr w:type="spellStart"/>
            <w:r w:rsidR="00E6201D">
              <w:t>d’âge</w:t>
            </w:r>
            <w:proofErr w:type="spellEnd"/>
            <w:r w:rsidR="00E6201D">
              <w:t xml:space="preserve"> à </w:t>
            </w:r>
            <w:proofErr w:type="spellStart"/>
            <w:r w:rsidR="00E6201D">
              <w:t>l’information</w:t>
            </w:r>
            <w:proofErr w:type="spellEnd"/>
            <w:r w:rsidR="00E6201D">
              <w:t xml:space="preserve"> et aux </w:t>
            </w:r>
            <w:proofErr w:type="spellStart"/>
            <w:r w:rsidR="00E6201D">
              <w:t>préservatifs</w:t>
            </w:r>
            <w:proofErr w:type="spellEnd"/>
            <w:r w:rsidR="00E6201D">
              <w:t>.</w:t>
            </w:r>
          </w:p>
          <w:p w14:paraId="7A9DE28E" w14:textId="77C659C3" w:rsidR="00E6201D" w:rsidRPr="00E6201D" w:rsidRDefault="00E6201D" w:rsidP="00E6201D">
            <w:pPr>
              <w:pStyle w:val="liste1"/>
              <w:rPr>
                <w:lang w:eastAsia="fr-FR"/>
              </w:rPr>
            </w:pPr>
            <w:r>
              <w:rPr>
                <w:lang w:eastAsia="fr-FR"/>
              </w:rPr>
              <w:t>A</w:t>
            </w:r>
            <w:r w:rsidRPr="00E6201D">
              <w:rPr>
                <w:lang w:eastAsia="fr-FR"/>
              </w:rPr>
              <w:t xml:space="preserve">daptation des </w:t>
            </w:r>
            <w:proofErr w:type="spellStart"/>
            <w:r w:rsidRPr="00E6201D">
              <w:rPr>
                <w:lang w:eastAsia="fr-FR"/>
              </w:rPr>
              <w:t>approches</w:t>
            </w:r>
            <w:proofErr w:type="spellEnd"/>
            <w:r w:rsidRPr="00E6201D">
              <w:rPr>
                <w:lang w:eastAsia="fr-FR"/>
              </w:rPr>
              <w:t xml:space="preserve"> de </w:t>
            </w:r>
            <w:proofErr w:type="spellStart"/>
            <w:r w:rsidRPr="00E6201D">
              <w:rPr>
                <w:lang w:eastAsia="fr-FR"/>
              </w:rPr>
              <w:t>prévention</w:t>
            </w:r>
            <w:proofErr w:type="spellEnd"/>
            <w:r w:rsidRPr="00E6201D">
              <w:rPr>
                <w:lang w:eastAsia="fr-FR"/>
              </w:rPr>
              <w:t xml:space="preserve"> de </w:t>
            </w:r>
            <w:proofErr w:type="spellStart"/>
            <w:r w:rsidRPr="00E6201D">
              <w:rPr>
                <w:lang w:eastAsia="fr-FR"/>
              </w:rPr>
              <w:t>proximité</w:t>
            </w:r>
            <w:proofErr w:type="spellEnd"/>
            <w:r w:rsidRPr="00E6201D">
              <w:rPr>
                <w:lang w:eastAsia="fr-FR"/>
              </w:rPr>
              <w:t xml:space="preserve"> aux </w:t>
            </w:r>
            <w:proofErr w:type="spellStart"/>
            <w:r w:rsidRPr="00E6201D">
              <w:rPr>
                <w:lang w:eastAsia="fr-FR"/>
              </w:rPr>
              <w:t>spécificités</w:t>
            </w:r>
            <w:proofErr w:type="spellEnd"/>
            <w:r w:rsidRPr="00E6201D">
              <w:rPr>
                <w:lang w:eastAsia="fr-FR"/>
              </w:rPr>
              <w:t xml:space="preserve"> des populations </w:t>
            </w:r>
            <w:proofErr w:type="spellStart"/>
            <w:r w:rsidRPr="00E6201D">
              <w:rPr>
                <w:lang w:eastAsia="fr-FR"/>
              </w:rPr>
              <w:t>ou</w:t>
            </w:r>
            <w:proofErr w:type="spellEnd"/>
            <w:r w:rsidRPr="00E6201D">
              <w:rPr>
                <w:lang w:eastAsia="fr-FR"/>
              </w:rPr>
              <w:t xml:space="preserve"> </w:t>
            </w:r>
            <w:proofErr w:type="spellStart"/>
            <w:r w:rsidRPr="00E6201D">
              <w:rPr>
                <w:lang w:eastAsia="fr-FR"/>
              </w:rPr>
              <w:t>groupes</w:t>
            </w:r>
            <w:proofErr w:type="spellEnd"/>
            <w:r w:rsidRPr="00E6201D">
              <w:rPr>
                <w:lang w:eastAsia="fr-FR"/>
              </w:rPr>
              <w:t xml:space="preserve"> et </w:t>
            </w:r>
            <w:proofErr w:type="spellStart"/>
            <w:r w:rsidRPr="00E6201D">
              <w:rPr>
                <w:lang w:eastAsia="fr-FR"/>
              </w:rPr>
              <w:t>selon</w:t>
            </w:r>
            <w:proofErr w:type="spellEnd"/>
            <w:r w:rsidRPr="00E6201D">
              <w:rPr>
                <w:lang w:eastAsia="fr-FR"/>
              </w:rPr>
              <w:t xml:space="preserve"> le cycle de vie (adolescents et </w:t>
            </w:r>
            <w:proofErr w:type="spellStart"/>
            <w:r w:rsidRPr="00E6201D">
              <w:rPr>
                <w:lang w:eastAsia="fr-FR"/>
              </w:rPr>
              <w:t>jeunes</w:t>
            </w:r>
            <w:proofErr w:type="spellEnd"/>
            <w:r w:rsidRPr="00E6201D">
              <w:rPr>
                <w:lang w:eastAsia="fr-FR"/>
              </w:rPr>
              <w:t xml:space="preserve"> des populations </w:t>
            </w:r>
            <w:proofErr w:type="spellStart"/>
            <w:r w:rsidRPr="00E6201D">
              <w:rPr>
                <w:lang w:eastAsia="fr-FR"/>
              </w:rPr>
              <w:t>clés</w:t>
            </w:r>
            <w:proofErr w:type="spellEnd"/>
            <w:r w:rsidRPr="00E6201D">
              <w:rPr>
                <w:lang w:eastAsia="fr-FR"/>
              </w:rPr>
              <w:t>).</w:t>
            </w:r>
          </w:p>
          <w:p w14:paraId="434F8631" w14:textId="3F0630EA" w:rsidR="00E6201D" w:rsidRPr="00D53A20" w:rsidRDefault="00E6201D">
            <w:pPr>
              <w:pStyle w:val="liste1"/>
            </w:pPr>
            <w:proofErr w:type="spellStart"/>
            <w:r w:rsidRPr="00E6201D">
              <w:t>Renforcement</w:t>
            </w:r>
            <w:proofErr w:type="spellEnd"/>
            <w:r w:rsidRPr="00E6201D">
              <w:t xml:space="preserve"> des </w:t>
            </w:r>
            <w:proofErr w:type="spellStart"/>
            <w:r w:rsidRPr="00E6201D">
              <w:t>capacités</w:t>
            </w:r>
            <w:proofErr w:type="spellEnd"/>
            <w:r w:rsidRPr="00E6201D">
              <w:t xml:space="preserve"> des </w:t>
            </w:r>
            <w:proofErr w:type="spellStart"/>
            <w:r w:rsidRPr="00E6201D">
              <w:t>acteurs</w:t>
            </w:r>
            <w:proofErr w:type="spellEnd"/>
            <w:r w:rsidRPr="00E6201D">
              <w:t xml:space="preserve"> </w:t>
            </w:r>
            <w:r w:rsidR="005360B5">
              <w:t>(</w:t>
            </w:r>
            <w:proofErr w:type="spellStart"/>
            <w:r w:rsidR="005360B5">
              <w:t>jeunes</w:t>
            </w:r>
            <w:proofErr w:type="spellEnd"/>
            <w:r w:rsidR="005360B5">
              <w:t xml:space="preserve">, </w:t>
            </w:r>
            <w:proofErr w:type="spellStart"/>
            <w:r w:rsidR="005360B5">
              <w:t>activistes</w:t>
            </w:r>
            <w:proofErr w:type="spellEnd"/>
            <w:r w:rsidR="005360B5">
              <w:t>, leaders</w:t>
            </w:r>
            <w:r w:rsidRPr="00E6201D">
              <w:t xml:space="preserve"> </w:t>
            </w:r>
            <w:proofErr w:type="spellStart"/>
            <w:r w:rsidRPr="00E6201D">
              <w:t>communautaires</w:t>
            </w:r>
            <w:proofErr w:type="spellEnd"/>
            <w:r w:rsidR="00653FC9">
              <w:t>)</w:t>
            </w:r>
            <w:r w:rsidRPr="00E6201D">
              <w:t xml:space="preserve"> pour la mise </w:t>
            </w:r>
            <w:proofErr w:type="spellStart"/>
            <w:r w:rsidRPr="00E6201D">
              <w:t>en</w:t>
            </w:r>
            <w:proofErr w:type="spellEnd"/>
            <w:r w:rsidRPr="00E6201D">
              <w:t xml:space="preserve"> </w:t>
            </w:r>
            <w:proofErr w:type="spellStart"/>
            <w:r w:rsidRPr="00E6201D">
              <w:t>œuvre</w:t>
            </w:r>
            <w:proofErr w:type="spellEnd"/>
            <w:r w:rsidRPr="00E6201D">
              <w:t xml:space="preserve"> des </w:t>
            </w:r>
            <w:proofErr w:type="spellStart"/>
            <w:r w:rsidRPr="00E6201D">
              <w:t>activités</w:t>
            </w:r>
            <w:proofErr w:type="spellEnd"/>
            <w:r w:rsidRPr="00E6201D">
              <w:t xml:space="preserve"> </w:t>
            </w:r>
            <w:proofErr w:type="spellStart"/>
            <w:r w:rsidRPr="00E6201D">
              <w:t>préventives</w:t>
            </w:r>
            <w:proofErr w:type="spellEnd"/>
            <w:r w:rsidRPr="00E6201D">
              <w:t xml:space="preserve"> </w:t>
            </w:r>
            <w:proofErr w:type="spellStart"/>
            <w:r w:rsidR="00653FC9">
              <w:t>en</w:t>
            </w:r>
            <w:proofErr w:type="spellEnd"/>
            <w:r w:rsidRPr="00E6201D">
              <w:t xml:space="preserve"> </w:t>
            </w:r>
            <w:proofErr w:type="spellStart"/>
            <w:r w:rsidRPr="00E6201D">
              <w:t>com</w:t>
            </w:r>
            <w:r w:rsidR="00653FC9">
              <w:t>m</w:t>
            </w:r>
            <w:r w:rsidRPr="00E6201D">
              <w:t>unauté</w:t>
            </w:r>
            <w:proofErr w:type="spellEnd"/>
            <w:r w:rsidR="00653FC9">
              <w:t>.</w:t>
            </w:r>
          </w:p>
          <w:p w14:paraId="25062C75" w14:textId="131BCC12" w:rsidR="000E7F91" w:rsidRPr="003A3250" w:rsidRDefault="000E7F91" w:rsidP="000E7F91">
            <w:pPr>
              <w:pStyle w:val="Texteformulaire"/>
              <w:rPr>
                <w:lang w:val="fr-FR"/>
              </w:rPr>
            </w:pPr>
            <w:r>
              <w:rPr>
                <w:lang w:val="fr-FR"/>
              </w:rPr>
              <w:t xml:space="preserve">Ces activités seront développées dans l’ensemble du pays, avec un ciblage </w:t>
            </w:r>
            <w:r w:rsidR="00C0011E">
              <w:rPr>
                <w:lang w:val="fr-FR"/>
              </w:rPr>
              <w:t xml:space="preserve">plus </w:t>
            </w:r>
            <w:r>
              <w:rPr>
                <w:lang w:val="fr-FR"/>
              </w:rPr>
              <w:t xml:space="preserve">particulier sur </w:t>
            </w:r>
            <w:r w:rsidRPr="00390EA4">
              <w:rPr>
                <w:lang w:val="fr-FR"/>
              </w:rPr>
              <w:t>les DS prioritaires</w:t>
            </w:r>
            <w:r>
              <w:rPr>
                <w:lang w:val="fr-FR"/>
              </w:rPr>
              <w:t xml:space="preserve"> </w:t>
            </w:r>
            <w:r w:rsidR="00C0011E">
              <w:rPr>
                <w:lang w:val="fr-FR"/>
              </w:rPr>
              <w:t xml:space="preserve">pour les interventions à l’endroit </w:t>
            </w:r>
            <w:r>
              <w:rPr>
                <w:lang w:val="fr-FR"/>
              </w:rPr>
              <w:t xml:space="preserve">des </w:t>
            </w:r>
            <w:proofErr w:type="spellStart"/>
            <w:r>
              <w:rPr>
                <w:lang w:val="fr-FR"/>
              </w:rPr>
              <w:t>KPs</w:t>
            </w:r>
            <w:proofErr w:type="spellEnd"/>
            <w:r w:rsidR="00C0011E">
              <w:rPr>
                <w:lang w:val="fr-FR"/>
              </w:rPr>
              <w:t xml:space="preserve"> (67 DS pour les TS et 59 pour les HSH)</w:t>
            </w:r>
            <w:r>
              <w:rPr>
                <w:lang w:val="fr-FR"/>
              </w:rPr>
              <w:t>.</w:t>
            </w:r>
            <w:r w:rsidR="00C0011E">
              <w:rPr>
                <w:lang w:val="fr-FR"/>
              </w:rPr>
              <w:t xml:space="preserve"> </w:t>
            </w:r>
            <w:r w:rsidRPr="003A3250">
              <w:rPr>
                <w:lang w:val="fr-FR"/>
              </w:rPr>
              <w:t xml:space="preserve"> </w:t>
            </w:r>
          </w:p>
          <w:p w14:paraId="0D56627A" w14:textId="77777777" w:rsidR="00437468" w:rsidRDefault="00437468" w:rsidP="00E80CEF">
            <w:pPr>
              <w:spacing w:after="0" w:line="240" w:lineRule="auto"/>
              <w:rPr>
                <w:color w:val="000000"/>
              </w:rPr>
            </w:pPr>
          </w:p>
          <w:p w14:paraId="0BA082EF" w14:textId="77777777" w:rsidR="006E0BA9" w:rsidRPr="001B7DE0" w:rsidRDefault="006E0BA9" w:rsidP="001B7DE0">
            <w:pPr>
              <w:pStyle w:val="Default"/>
              <w:numPr>
                <w:ilvl w:val="0"/>
                <w:numId w:val="30"/>
              </w:numPr>
              <w:rPr>
                <w:b/>
                <w:sz w:val="22"/>
              </w:rPr>
            </w:pPr>
            <w:proofErr w:type="spellStart"/>
            <w:r w:rsidRPr="001B7DE0">
              <w:rPr>
                <w:b/>
                <w:sz w:val="22"/>
              </w:rPr>
              <w:t>Programmation</w:t>
            </w:r>
            <w:proofErr w:type="spellEnd"/>
            <w:r w:rsidRPr="001B7DE0">
              <w:rPr>
                <w:b/>
                <w:sz w:val="22"/>
              </w:rPr>
              <w:t xml:space="preserve"> et gestion du </w:t>
            </w:r>
            <w:proofErr w:type="spellStart"/>
            <w:r w:rsidRPr="001B7DE0">
              <w:rPr>
                <w:b/>
                <w:sz w:val="22"/>
              </w:rPr>
              <w:t>préservatif</w:t>
            </w:r>
            <w:proofErr w:type="spellEnd"/>
            <w:r w:rsidRPr="001B7DE0">
              <w:rPr>
                <w:b/>
                <w:sz w:val="22"/>
              </w:rPr>
              <w:t xml:space="preserve"> au </w:t>
            </w:r>
            <w:proofErr w:type="spellStart"/>
            <w:r w:rsidRPr="001B7DE0">
              <w:rPr>
                <w:b/>
                <w:sz w:val="22"/>
              </w:rPr>
              <w:t>niveau</w:t>
            </w:r>
            <w:proofErr w:type="spellEnd"/>
            <w:r w:rsidRPr="001B7DE0">
              <w:rPr>
                <w:b/>
                <w:sz w:val="22"/>
              </w:rPr>
              <w:t xml:space="preserve"> national</w:t>
            </w:r>
          </w:p>
          <w:p w14:paraId="27CBBDA1" w14:textId="6C92EF91" w:rsidR="006E0BA9" w:rsidRPr="003A3250" w:rsidRDefault="006E0BA9" w:rsidP="006E0BA9">
            <w:pPr>
              <w:pStyle w:val="Texteformulaire"/>
              <w:rPr>
                <w:lang w:val="fr-FR"/>
              </w:rPr>
            </w:pPr>
            <w:r w:rsidRPr="003A3250">
              <w:rPr>
                <w:lang w:val="fr-FR"/>
              </w:rPr>
              <w:lastRenderedPageBreak/>
              <w:t>Pour assurer la coordination des interventions en lien avec le pr</w:t>
            </w:r>
            <w:r w:rsidR="006E6446">
              <w:rPr>
                <w:lang w:val="fr-FR"/>
              </w:rPr>
              <w:t>é</w:t>
            </w:r>
            <w:r w:rsidRPr="003A3250">
              <w:rPr>
                <w:lang w:val="fr-FR"/>
              </w:rPr>
              <w:t xml:space="preserve">servatif dans une approche de marché total, le PNLS collaborera </w:t>
            </w:r>
            <w:r w:rsidR="006E6446">
              <w:rPr>
                <w:lang w:val="fr-FR"/>
              </w:rPr>
              <w:t>é</w:t>
            </w:r>
            <w:r w:rsidRPr="003A3250">
              <w:rPr>
                <w:lang w:val="fr-FR"/>
              </w:rPr>
              <w:t>troitement avec l</w:t>
            </w:r>
            <w:r w:rsidR="00653FC9">
              <w:rPr>
                <w:lang w:val="fr-FR"/>
              </w:rPr>
              <w:t>es acteurs</w:t>
            </w:r>
            <w:r w:rsidRPr="003A3250">
              <w:rPr>
                <w:lang w:val="fr-FR"/>
              </w:rPr>
              <w:t xml:space="preserve"> d</w:t>
            </w:r>
            <w:r w:rsidR="00653FC9">
              <w:rPr>
                <w:lang w:val="fr-FR"/>
              </w:rPr>
              <w:t>u</w:t>
            </w:r>
            <w:r w:rsidRPr="003A3250">
              <w:rPr>
                <w:lang w:val="fr-FR"/>
              </w:rPr>
              <w:t xml:space="preserve"> marketing social</w:t>
            </w:r>
            <w:r w:rsidR="00653FC9">
              <w:rPr>
                <w:lang w:val="fr-FR"/>
              </w:rPr>
              <w:t xml:space="preserve"> (AIMAS, DKT-International)</w:t>
            </w:r>
            <w:r w:rsidR="00607664">
              <w:rPr>
                <w:lang w:val="fr-FR"/>
              </w:rPr>
              <w:t>, l’UNFPA</w:t>
            </w:r>
            <w:r w:rsidRPr="003A3250">
              <w:rPr>
                <w:lang w:val="fr-FR"/>
              </w:rPr>
              <w:t xml:space="preserve"> et l’exhaustivité des acteurs du secteur privé.</w:t>
            </w:r>
          </w:p>
          <w:p w14:paraId="4E3682CF" w14:textId="565698D2" w:rsidR="006E0BA9" w:rsidRDefault="006E0BA9" w:rsidP="006E0BA9">
            <w:pPr>
              <w:pStyle w:val="Texteformulaire"/>
              <w:rPr>
                <w:lang w:val="fr-FR"/>
              </w:rPr>
            </w:pPr>
            <w:r w:rsidRPr="003A3250">
              <w:rPr>
                <w:lang w:val="fr-FR"/>
              </w:rPr>
              <w:t xml:space="preserve">L’objectif </w:t>
            </w:r>
            <w:r w:rsidR="006E6446">
              <w:rPr>
                <w:lang w:val="fr-FR"/>
              </w:rPr>
              <w:t>é</w:t>
            </w:r>
            <w:r w:rsidRPr="003A3250">
              <w:rPr>
                <w:lang w:val="fr-FR"/>
              </w:rPr>
              <w:t xml:space="preserve">tant d’assurer une bonne couverture des besoins nationaux à travers les trois segments de distribution (gratuité, marketing social et privé) et pour ce faire un cadre permanent de rencontre sera mis </w:t>
            </w:r>
            <w:r w:rsidRPr="00306FB8">
              <w:rPr>
                <w:lang w:val="fr-FR"/>
              </w:rPr>
              <w:t>en</w:t>
            </w:r>
            <w:r w:rsidRPr="003A3250">
              <w:rPr>
                <w:lang w:val="fr-FR"/>
              </w:rPr>
              <w:t xml:space="preserve"> place avec les différents acteurs qui permettra également de disposer des informations du marché. </w:t>
            </w:r>
          </w:p>
          <w:p w14:paraId="1C451751" w14:textId="7EF5C168" w:rsidR="006E0BA9" w:rsidRPr="003A3250" w:rsidRDefault="006E0BA9" w:rsidP="006E0BA9">
            <w:pPr>
              <w:pStyle w:val="Texteformulaire"/>
              <w:rPr>
                <w:lang w:val="fr-FR"/>
              </w:rPr>
            </w:pPr>
            <w:r w:rsidRPr="003A3250">
              <w:rPr>
                <w:lang w:val="fr-FR"/>
              </w:rPr>
              <w:t>Cette collaboration visera également le renforcement de l’accessibilité des populations aux produits</w:t>
            </w:r>
            <w:r w:rsidR="00381FBB">
              <w:rPr>
                <w:lang w:val="fr-FR"/>
              </w:rPr>
              <w:t>,</w:t>
            </w:r>
            <w:r w:rsidRPr="003A3250">
              <w:rPr>
                <w:lang w:val="fr-FR"/>
              </w:rPr>
              <w:t xml:space="preserve"> à travers</w:t>
            </w:r>
            <w:r w:rsidR="00381FBB">
              <w:rPr>
                <w:lang w:val="fr-FR"/>
              </w:rPr>
              <w:t xml:space="preserve"> une </w:t>
            </w:r>
            <w:r w:rsidRPr="003A3250">
              <w:rPr>
                <w:lang w:val="fr-FR"/>
              </w:rPr>
              <w:t>r</w:t>
            </w:r>
            <w:r w:rsidR="00381FBB">
              <w:rPr>
                <w:lang w:val="fr-FR"/>
              </w:rPr>
              <w:t>é</w:t>
            </w:r>
            <w:r w:rsidRPr="003A3250">
              <w:rPr>
                <w:lang w:val="fr-FR"/>
              </w:rPr>
              <w:t>partition harmonieuse des points de vente</w:t>
            </w:r>
            <w:r w:rsidR="00080F61">
              <w:rPr>
                <w:lang w:val="fr-FR"/>
              </w:rPr>
              <w:t xml:space="preserve"> et la diffusion de la cartographie des points de vente des préservatifs aux différentes populations cibles</w:t>
            </w:r>
            <w:r w:rsidR="006E6446">
              <w:rPr>
                <w:lang w:val="fr-FR"/>
              </w:rPr>
              <w:t> :</w:t>
            </w:r>
            <w:r w:rsidRPr="003A3250">
              <w:rPr>
                <w:lang w:val="fr-FR"/>
              </w:rPr>
              <w:t xml:space="preserve"> </w:t>
            </w:r>
          </w:p>
          <w:p w14:paraId="39F65554" w14:textId="35013749" w:rsidR="006E6446" w:rsidRDefault="006E6446" w:rsidP="00E6201D">
            <w:pPr>
              <w:pStyle w:val="liste1"/>
            </w:pPr>
            <w:r>
              <w:t xml:space="preserve">Acquisition de </w:t>
            </w:r>
            <w:proofErr w:type="spellStart"/>
            <w:r>
              <w:t>préservatifs</w:t>
            </w:r>
            <w:proofErr w:type="spellEnd"/>
            <w:r>
              <w:t xml:space="preserve"> </w:t>
            </w:r>
            <w:r w:rsidR="000E7F91">
              <w:t>(</w:t>
            </w:r>
            <w:proofErr w:type="spellStart"/>
            <w:r w:rsidR="000E7F91">
              <w:t>masuclins</w:t>
            </w:r>
            <w:proofErr w:type="spellEnd"/>
            <w:r w:rsidR="000E7F91">
              <w:t xml:space="preserve">, </w:t>
            </w:r>
            <w:proofErr w:type="spellStart"/>
            <w:r w:rsidR="000E7F91">
              <w:t>féminins</w:t>
            </w:r>
            <w:proofErr w:type="spellEnd"/>
            <w:r w:rsidR="000E7F91">
              <w:t xml:space="preserve">) </w:t>
            </w:r>
            <w:r>
              <w:t xml:space="preserve">et </w:t>
            </w:r>
            <w:proofErr w:type="spellStart"/>
            <w:r>
              <w:t>lubrifiants</w:t>
            </w:r>
            <w:proofErr w:type="spellEnd"/>
          </w:p>
          <w:p w14:paraId="219C4948" w14:textId="3509B48F" w:rsidR="006E0BA9" w:rsidRPr="003A3250" w:rsidRDefault="006E0BA9" w:rsidP="00E6201D">
            <w:pPr>
              <w:pStyle w:val="liste1"/>
            </w:pPr>
            <w:r w:rsidRPr="003A3250">
              <w:t xml:space="preserve">Assurer le </w:t>
            </w:r>
            <w:proofErr w:type="spellStart"/>
            <w:r w:rsidRPr="003A3250">
              <w:t>suivi</w:t>
            </w:r>
            <w:proofErr w:type="spellEnd"/>
            <w:r w:rsidRPr="003A3250">
              <w:t xml:space="preserve"> et la coordination des interventions </w:t>
            </w:r>
            <w:proofErr w:type="spellStart"/>
            <w:r w:rsidRPr="003A3250">
              <w:t>en</w:t>
            </w:r>
            <w:proofErr w:type="spellEnd"/>
            <w:r w:rsidRPr="003A3250">
              <w:t xml:space="preserve"> lien avec les </w:t>
            </w:r>
            <w:proofErr w:type="spellStart"/>
            <w:r w:rsidRPr="003A3250">
              <w:t>préservatifs</w:t>
            </w:r>
            <w:proofErr w:type="spellEnd"/>
            <w:r w:rsidRPr="003A3250">
              <w:t xml:space="preserve"> et gels </w:t>
            </w:r>
            <w:proofErr w:type="spellStart"/>
            <w:r w:rsidRPr="003A3250">
              <w:t>lubrifiants</w:t>
            </w:r>
            <w:proofErr w:type="spellEnd"/>
            <w:r w:rsidR="00B64265" w:rsidRPr="00A22507">
              <w:t xml:space="preserve">. </w:t>
            </w:r>
            <w:proofErr w:type="spellStart"/>
            <w:r w:rsidR="00B64265" w:rsidRPr="00A22507">
              <w:t>Cela</w:t>
            </w:r>
            <w:proofErr w:type="spellEnd"/>
            <w:r w:rsidR="00B64265" w:rsidRPr="00A22507">
              <w:t xml:space="preserve"> </w:t>
            </w:r>
            <w:proofErr w:type="spellStart"/>
            <w:r w:rsidR="00B64265" w:rsidRPr="00A22507">
              <w:t>inclura</w:t>
            </w:r>
            <w:proofErr w:type="spellEnd"/>
            <w:r w:rsidR="00B64265" w:rsidRPr="00A22507">
              <w:t xml:space="preserve"> </w:t>
            </w:r>
            <w:proofErr w:type="spellStart"/>
            <w:r w:rsidR="00B64265" w:rsidRPr="00A22507">
              <w:t>l'intégration</w:t>
            </w:r>
            <w:proofErr w:type="spellEnd"/>
            <w:r w:rsidR="00B64265" w:rsidRPr="00A22507">
              <w:t xml:space="preserve"> des </w:t>
            </w:r>
            <w:proofErr w:type="spellStart"/>
            <w:r w:rsidR="00B64265" w:rsidRPr="00A22507">
              <w:t>données</w:t>
            </w:r>
            <w:proofErr w:type="spellEnd"/>
            <w:r w:rsidR="00B64265" w:rsidRPr="00A22507">
              <w:t xml:space="preserve"> sur la distribution de </w:t>
            </w:r>
            <w:proofErr w:type="spellStart"/>
            <w:r w:rsidR="00B64265" w:rsidRPr="00A22507">
              <w:t>préservatifs</w:t>
            </w:r>
            <w:proofErr w:type="spellEnd"/>
            <w:r w:rsidR="00B64265" w:rsidRPr="00A22507">
              <w:t xml:space="preserve"> et de </w:t>
            </w:r>
            <w:proofErr w:type="spellStart"/>
            <w:r w:rsidR="00B64265" w:rsidRPr="00A22507">
              <w:t>lubrifiants</w:t>
            </w:r>
            <w:proofErr w:type="spellEnd"/>
            <w:r w:rsidR="00B64265" w:rsidRPr="00A22507">
              <w:t xml:space="preserve"> dans</w:t>
            </w:r>
            <w:r w:rsidR="00B65767" w:rsidRPr="00A22507">
              <w:t xml:space="preserve"> le LMIS et DHIS2</w:t>
            </w:r>
          </w:p>
          <w:p w14:paraId="03B4143F" w14:textId="4541B4CE" w:rsidR="006E0BA9" w:rsidRPr="00306FB8" w:rsidRDefault="006E0BA9" w:rsidP="00E6201D">
            <w:pPr>
              <w:pStyle w:val="liste1"/>
            </w:pPr>
            <w:proofErr w:type="spellStart"/>
            <w:r w:rsidRPr="00306FB8">
              <w:t>Mettre</w:t>
            </w:r>
            <w:proofErr w:type="spellEnd"/>
            <w:r w:rsidRPr="00306FB8">
              <w:t xml:space="preserve"> </w:t>
            </w:r>
            <w:proofErr w:type="spellStart"/>
            <w:r w:rsidRPr="00306FB8">
              <w:t>en</w:t>
            </w:r>
            <w:proofErr w:type="spellEnd"/>
            <w:r w:rsidRPr="00306FB8">
              <w:t xml:space="preserve"> place un standard </w:t>
            </w:r>
            <w:proofErr w:type="spellStart"/>
            <w:r w:rsidRPr="00306FB8">
              <w:t>d'implantation</w:t>
            </w:r>
            <w:proofErr w:type="spellEnd"/>
            <w:r w:rsidRPr="00306FB8">
              <w:t xml:space="preserve"> des points de distribution de </w:t>
            </w:r>
            <w:proofErr w:type="spellStart"/>
            <w:r w:rsidRPr="00306FB8">
              <w:t>préservatifs</w:t>
            </w:r>
            <w:proofErr w:type="spellEnd"/>
            <w:r w:rsidRPr="00306FB8">
              <w:t xml:space="preserve"> du marketing social au </w:t>
            </w:r>
            <w:proofErr w:type="spellStart"/>
            <w:r w:rsidRPr="00306FB8">
              <w:t>niveau</w:t>
            </w:r>
            <w:proofErr w:type="spellEnd"/>
            <w:r w:rsidRPr="00306FB8">
              <w:t xml:space="preserve"> national</w:t>
            </w:r>
            <w:r w:rsidR="00381FBB" w:rsidRPr="00306FB8">
              <w:t xml:space="preserve"> ; </w:t>
            </w:r>
            <w:proofErr w:type="spellStart"/>
            <w:r w:rsidR="00381FBB" w:rsidRPr="00306FB8">
              <w:t>géolocaliser</w:t>
            </w:r>
            <w:proofErr w:type="spellEnd"/>
            <w:r w:rsidR="00381FBB" w:rsidRPr="00306FB8">
              <w:t xml:space="preserve"> et </w:t>
            </w:r>
            <w:proofErr w:type="spellStart"/>
            <w:r w:rsidR="00381FBB" w:rsidRPr="00306FB8">
              <w:t>inclure</w:t>
            </w:r>
            <w:proofErr w:type="spellEnd"/>
            <w:r w:rsidR="00381FBB" w:rsidRPr="00306FB8">
              <w:t xml:space="preserve"> </w:t>
            </w:r>
            <w:proofErr w:type="spellStart"/>
            <w:r w:rsidR="00381FBB" w:rsidRPr="00306FB8">
              <w:t>ces</w:t>
            </w:r>
            <w:proofErr w:type="spellEnd"/>
            <w:r w:rsidR="00381FBB" w:rsidRPr="00306FB8">
              <w:t xml:space="preserve"> points de vente dans la carte sanitaire avec la DIIS, pour </w:t>
            </w:r>
            <w:proofErr w:type="spellStart"/>
            <w:r w:rsidR="00381FBB" w:rsidRPr="00306FB8">
              <w:t>visualiser</w:t>
            </w:r>
            <w:proofErr w:type="spellEnd"/>
            <w:r w:rsidR="00381FBB" w:rsidRPr="00306FB8">
              <w:t xml:space="preserve"> les </w:t>
            </w:r>
            <w:proofErr w:type="spellStart"/>
            <w:r w:rsidR="00381FBB" w:rsidRPr="00306FB8">
              <w:t>données</w:t>
            </w:r>
            <w:proofErr w:type="spellEnd"/>
            <w:r w:rsidR="00381FBB" w:rsidRPr="00306FB8">
              <w:t xml:space="preserve"> de </w:t>
            </w:r>
            <w:proofErr w:type="spellStart"/>
            <w:r w:rsidR="00381FBB" w:rsidRPr="00306FB8">
              <w:t>ces</w:t>
            </w:r>
            <w:proofErr w:type="spellEnd"/>
            <w:r w:rsidR="00381FBB" w:rsidRPr="00306FB8">
              <w:t xml:space="preserve"> points de distribution </w:t>
            </w:r>
            <w:proofErr w:type="spellStart"/>
            <w:r w:rsidR="00381FBB" w:rsidRPr="00306FB8">
              <w:t>individuels</w:t>
            </w:r>
            <w:proofErr w:type="spellEnd"/>
            <w:r w:rsidR="00381FBB" w:rsidRPr="00306FB8">
              <w:t xml:space="preserve"> (publics/</w:t>
            </w:r>
            <w:proofErr w:type="spellStart"/>
            <w:r w:rsidR="00381FBB" w:rsidRPr="00306FB8">
              <w:t>gratuits</w:t>
            </w:r>
            <w:proofErr w:type="spellEnd"/>
            <w:r w:rsidR="00381FBB" w:rsidRPr="00306FB8">
              <w:t xml:space="preserve">, marketing social et </w:t>
            </w:r>
            <w:proofErr w:type="spellStart"/>
            <w:r w:rsidR="00381FBB" w:rsidRPr="00306FB8">
              <w:t>privés</w:t>
            </w:r>
            <w:proofErr w:type="spellEnd"/>
            <w:r w:rsidR="00381FBB" w:rsidRPr="00306FB8">
              <w:t xml:space="preserve">) dans le DHIS2 sur des </w:t>
            </w:r>
            <w:proofErr w:type="spellStart"/>
            <w:r w:rsidR="00381FBB" w:rsidRPr="00306FB8">
              <w:t>cartes</w:t>
            </w:r>
            <w:proofErr w:type="spellEnd"/>
            <w:r w:rsidR="00381FBB" w:rsidRPr="00306FB8">
              <w:t xml:space="preserve"> pour un </w:t>
            </w:r>
            <w:proofErr w:type="spellStart"/>
            <w:r w:rsidR="00381FBB" w:rsidRPr="00306FB8">
              <w:t>meilleur</w:t>
            </w:r>
            <w:proofErr w:type="spellEnd"/>
            <w:r w:rsidR="00381FBB" w:rsidRPr="00306FB8">
              <w:t xml:space="preserve"> </w:t>
            </w:r>
            <w:proofErr w:type="spellStart"/>
            <w:r w:rsidR="00381FBB" w:rsidRPr="00306FB8">
              <w:t>suivi</w:t>
            </w:r>
            <w:proofErr w:type="spellEnd"/>
          </w:p>
          <w:p w14:paraId="2776612C" w14:textId="1904829F" w:rsidR="00D80155" w:rsidRPr="003A3250" w:rsidRDefault="00220E0D" w:rsidP="00390EA4">
            <w:pPr>
              <w:pStyle w:val="liste1"/>
            </w:pPr>
            <w:proofErr w:type="spellStart"/>
            <w:r>
              <w:t>Renforcement</w:t>
            </w:r>
            <w:proofErr w:type="spellEnd"/>
            <w:r>
              <w:t xml:space="preserve"> de la </w:t>
            </w:r>
            <w:proofErr w:type="spellStart"/>
            <w:r>
              <w:t>chaine</w:t>
            </w:r>
            <w:proofErr w:type="spellEnd"/>
            <w:r>
              <w:t xml:space="preserve"> </w:t>
            </w:r>
            <w:proofErr w:type="spellStart"/>
            <w:r>
              <w:t>nationale</w:t>
            </w:r>
            <w:proofErr w:type="spellEnd"/>
            <w:r>
              <w:t xml:space="preserve"> </w:t>
            </w:r>
            <w:proofErr w:type="spellStart"/>
            <w:r>
              <w:t>d’approvisionnement</w:t>
            </w:r>
            <w:proofErr w:type="spellEnd"/>
            <w:r>
              <w:t xml:space="preserve"> </w:t>
            </w:r>
          </w:p>
          <w:p w14:paraId="2E795422" w14:textId="5B38CF8E" w:rsidR="006E0BA9" w:rsidRDefault="006E0BA9" w:rsidP="00E6201D">
            <w:pPr>
              <w:pStyle w:val="liste1"/>
            </w:pPr>
            <w:proofErr w:type="spellStart"/>
            <w:r w:rsidRPr="003A3250">
              <w:t>Organiser</w:t>
            </w:r>
            <w:proofErr w:type="spellEnd"/>
            <w:r w:rsidRPr="003A3250">
              <w:t xml:space="preserve"> 01 </w:t>
            </w:r>
            <w:proofErr w:type="spellStart"/>
            <w:r w:rsidRPr="003A3250">
              <w:t>réunion</w:t>
            </w:r>
            <w:proofErr w:type="spellEnd"/>
            <w:r w:rsidRPr="003A3250">
              <w:t xml:space="preserve"> </w:t>
            </w:r>
            <w:proofErr w:type="spellStart"/>
            <w:r w:rsidRPr="003A3250">
              <w:t>trimestrielle</w:t>
            </w:r>
            <w:proofErr w:type="spellEnd"/>
            <w:r w:rsidRPr="003A3250">
              <w:t xml:space="preserve"> de </w:t>
            </w:r>
            <w:proofErr w:type="spellStart"/>
            <w:r w:rsidRPr="003A3250">
              <w:t>suivi</w:t>
            </w:r>
            <w:proofErr w:type="spellEnd"/>
            <w:r w:rsidRPr="003A3250">
              <w:t xml:space="preserve"> du plan </w:t>
            </w:r>
            <w:proofErr w:type="spellStart"/>
            <w:r w:rsidRPr="003A3250">
              <w:t>d'approvisionnement</w:t>
            </w:r>
            <w:proofErr w:type="spellEnd"/>
            <w:r w:rsidRPr="003A3250">
              <w:t xml:space="preserve"> du marketing social et </w:t>
            </w:r>
            <w:proofErr w:type="spellStart"/>
            <w:r w:rsidRPr="003A3250">
              <w:t>secteur</w:t>
            </w:r>
            <w:proofErr w:type="spellEnd"/>
            <w:r w:rsidRPr="003A3250">
              <w:t xml:space="preserve"> commercial du </w:t>
            </w:r>
            <w:proofErr w:type="spellStart"/>
            <w:r w:rsidRPr="003A3250">
              <w:t>préservatif</w:t>
            </w:r>
            <w:proofErr w:type="spellEnd"/>
            <w:r w:rsidRPr="003A3250">
              <w:t xml:space="preserve"> et gels </w:t>
            </w:r>
            <w:proofErr w:type="spellStart"/>
            <w:r w:rsidRPr="003A3250">
              <w:t>lubrifiants</w:t>
            </w:r>
            <w:proofErr w:type="spellEnd"/>
          </w:p>
          <w:p w14:paraId="7E8202E2" w14:textId="5C66D868" w:rsidR="006E6446" w:rsidRPr="00FC6510" w:rsidRDefault="006E6446" w:rsidP="00390EA4">
            <w:pPr>
              <w:pStyle w:val="Texteformulaire"/>
              <w:rPr>
                <w:lang w:val="fr-FR"/>
              </w:rPr>
            </w:pPr>
            <w:r>
              <w:rPr>
                <w:lang w:val="fr-FR"/>
              </w:rPr>
              <w:t xml:space="preserve">Une contribution est attendue d’autres partenaires sur l’acquisition de préservatifs et lubrifiants : PEPFAR </w:t>
            </w:r>
            <w:r w:rsidR="002048DB">
              <w:rPr>
                <w:lang w:val="fr-FR"/>
              </w:rPr>
              <w:t>(USAID),</w:t>
            </w:r>
            <w:r>
              <w:rPr>
                <w:lang w:val="fr-FR"/>
              </w:rPr>
              <w:t xml:space="preserve"> UNFPA</w:t>
            </w:r>
            <w:r w:rsidR="002048DB">
              <w:rPr>
                <w:lang w:val="fr-FR"/>
              </w:rPr>
              <w:t xml:space="preserve"> et</w:t>
            </w:r>
            <w:r>
              <w:rPr>
                <w:lang w:val="fr-FR"/>
              </w:rPr>
              <w:t xml:space="preserve"> KFW </w:t>
            </w:r>
            <w:r w:rsidR="002048DB">
              <w:rPr>
                <w:lang w:val="fr-FR"/>
              </w:rPr>
              <w:t xml:space="preserve">(à travers AIMAS) </w:t>
            </w:r>
            <w:r>
              <w:rPr>
                <w:lang w:val="fr-FR"/>
              </w:rPr>
              <w:t>pour le marketing social.</w:t>
            </w:r>
          </w:p>
          <w:p w14:paraId="2B07B868" w14:textId="77777777" w:rsidR="006E0BA9" w:rsidRDefault="006E0BA9" w:rsidP="00390EA4">
            <w:pPr>
              <w:pStyle w:val="ListParagraph"/>
              <w:spacing w:after="0" w:line="240" w:lineRule="auto"/>
              <w:ind w:left="360"/>
              <w:rPr>
                <w:color w:val="000000"/>
              </w:rPr>
            </w:pPr>
          </w:p>
          <w:p w14:paraId="060AFE74" w14:textId="436C60F3" w:rsidR="00F16C1A" w:rsidRPr="00306FB8" w:rsidRDefault="00F16C1A" w:rsidP="001B7DE0">
            <w:pPr>
              <w:pStyle w:val="Default"/>
              <w:numPr>
                <w:ilvl w:val="0"/>
                <w:numId w:val="30"/>
              </w:numPr>
              <w:rPr>
                <w:b/>
                <w:sz w:val="22"/>
              </w:rPr>
            </w:pPr>
            <w:r w:rsidRPr="00306FB8">
              <w:rPr>
                <w:b/>
                <w:sz w:val="22"/>
              </w:rPr>
              <w:t xml:space="preserve"> </w:t>
            </w:r>
            <w:r w:rsidR="004F3269" w:rsidRPr="001B7DE0">
              <w:rPr>
                <w:b/>
                <w:sz w:val="22"/>
              </w:rPr>
              <w:t xml:space="preserve">Interventions pour le </w:t>
            </w:r>
            <w:proofErr w:type="spellStart"/>
            <w:r w:rsidR="004F3269" w:rsidRPr="00306FB8">
              <w:rPr>
                <w:b/>
                <w:sz w:val="22"/>
              </w:rPr>
              <w:t>c</w:t>
            </w:r>
            <w:r w:rsidRPr="00306FB8">
              <w:rPr>
                <w:b/>
                <w:sz w:val="22"/>
              </w:rPr>
              <w:t>hangement</w:t>
            </w:r>
            <w:proofErr w:type="spellEnd"/>
            <w:r w:rsidRPr="00306FB8">
              <w:rPr>
                <w:b/>
                <w:sz w:val="22"/>
              </w:rPr>
              <w:t xml:space="preserve"> de </w:t>
            </w:r>
            <w:proofErr w:type="spellStart"/>
            <w:r w:rsidRPr="00306FB8">
              <w:rPr>
                <w:b/>
                <w:sz w:val="22"/>
              </w:rPr>
              <w:t>comportement</w:t>
            </w:r>
            <w:proofErr w:type="spellEnd"/>
            <w:r w:rsidRPr="00306FB8">
              <w:rPr>
                <w:b/>
                <w:sz w:val="22"/>
              </w:rPr>
              <w:t xml:space="preserve"> </w:t>
            </w:r>
          </w:p>
          <w:p w14:paraId="14E6A9A8" w14:textId="155E1361" w:rsidR="00DD2BE7" w:rsidRDefault="00F16C1A" w:rsidP="005010EE">
            <w:pPr>
              <w:pStyle w:val="Texteformulaire"/>
              <w:rPr>
                <w:lang w:val="fr-FR"/>
              </w:rPr>
            </w:pPr>
            <w:r w:rsidRPr="00390EA4">
              <w:rPr>
                <w:lang w:val="fr-FR"/>
              </w:rPr>
              <w:t>Elle</w:t>
            </w:r>
            <w:r w:rsidR="004F3269">
              <w:rPr>
                <w:lang w:val="fr-FR"/>
              </w:rPr>
              <w:t>s</w:t>
            </w:r>
            <w:r w:rsidRPr="00390EA4">
              <w:rPr>
                <w:lang w:val="fr-FR"/>
              </w:rPr>
              <w:t xml:space="preserve"> vise</w:t>
            </w:r>
            <w:r w:rsidR="004F3269">
              <w:rPr>
                <w:lang w:val="fr-FR"/>
              </w:rPr>
              <w:t>nt</w:t>
            </w:r>
            <w:r w:rsidRPr="00390EA4">
              <w:rPr>
                <w:lang w:val="fr-FR"/>
              </w:rPr>
              <w:t xml:space="preserve"> à obtenir un changement social et de comportement </w:t>
            </w:r>
            <w:r w:rsidR="00E93A98" w:rsidRPr="00306FB8">
              <w:rPr>
                <w:lang w:val="fr-FR"/>
              </w:rPr>
              <w:t xml:space="preserve">pour l’adoption de comportement à moindre risque et </w:t>
            </w:r>
            <w:r w:rsidRPr="00306FB8">
              <w:rPr>
                <w:lang w:val="fr-FR"/>
              </w:rPr>
              <w:t>p</w:t>
            </w:r>
            <w:r w:rsidR="00E93A98" w:rsidRPr="00306FB8">
              <w:rPr>
                <w:lang w:val="fr-FR"/>
              </w:rPr>
              <w:t>our</w:t>
            </w:r>
            <w:r w:rsidRPr="00390EA4">
              <w:rPr>
                <w:lang w:val="fr-FR"/>
              </w:rPr>
              <w:t xml:space="preserve"> </w:t>
            </w:r>
            <w:r w:rsidR="00341E09">
              <w:rPr>
                <w:lang w:val="fr-FR"/>
              </w:rPr>
              <w:t xml:space="preserve">développer </w:t>
            </w:r>
            <w:r w:rsidRPr="00390EA4">
              <w:rPr>
                <w:lang w:val="fr-FR"/>
              </w:rPr>
              <w:t xml:space="preserve">une perception positive du </w:t>
            </w:r>
            <w:r w:rsidR="00DD2BE7">
              <w:rPr>
                <w:lang w:val="fr-FR"/>
              </w:rPr>
              <w:t>VIH</w:t>
            </w:r>
            <w:r w:rsidR="00DD2BE7" w:rsidRPr="00306FB8">
              <w:rPr>
                <w:lang w:val="fr-FR"/>
              </w:rPr>
              <w:t xml:space="preserve"> </w:t>
            </w:r>
            <w:r w:rsidR="00341E09" w:rsidRPr="00306FB8">
              <w:rPr>
                <w:lang w:val="fr-FR"/>
              </w:rPr>
              <w:t>afin</w:t>
            </w:r>
            <w:r w:rsidRPr="00306FB8">
              <w:rPr>
                <w:lang w:val="fr-FR"/>
              </w:rPr>
              <w:t xml:space="preserve"> </w:t>
            </w:r>
            <w:r w:rsidR="00E93A98" w:rsidRPr="00306FB8">
              <w:rPr>
                <w:lang w:val="fr-FR"/>
              </w:rPr>
              <w:t>d</w:t>
            </w:r>
            <w:r w:rsidR="00341E09" w:rsidRPr="00306FB8">
              <w:rPr>
                <w:lang w:val="fr-FR"/>
              </w:rPr>
              <w:t>e</w:t>
            </w:r>
            <w:r w:rsidRPr="00390EA4">
              <w:rPr>
                <w:lang w:val="fr-FR"/>
              </w:rPr>
              <w:t xml:space="preserve"> rédu</w:t>
            </w:r>
            <w:r w:rsidR="00341E09">
              <w:rPr>
                <w:lang w:val="fr-FR"/>
              </w:rPr>
              <w:t>ire</w:t>
            </w:r>
            <w:r w:rsidRPr="00390EA4">
              <w:rPr>
                <w:lang w:val="fr-FR"/>
              </w:rPr>
              <w:t xml:space="preserve"> la stigmatisation et la discrimination</w:t>
            </w:r>
            <w:r w:rsidR="00E93A98" w:rsidRPr="00306FB8">
              <w:rPr>
                <w:lang w:val="fr-FR"/>
              </w:rPr>
              <w:t xml:space="preserve">, </w:t>
            </w:r>
            <w:r w:rsidR="00761278" w:rsidRPr="00306FB8">
              <w:rPr>
                <w:lang w:val="fr-FR"/>
              </w:rPr>
              <w:t xml:space="preserve">et </w:t>
            </w:r>
            <w:r w:rsidR="00341E09" w:rsidRPr="00306FB8">
              <w:rPr>
                <w:lang w:val="fr-FR"/>
              </w:rPr>
              <w:t xml:space="preserve">favoriser </w:t>
            </w:r>
            <w:r w:rsidR="00761278" w:rsidRPr="00306FB8">
              <w:rPr>
                <w:lang w:val="fr-FR"/>
              </w:rPr>
              <w:t>la</w:t>
            </w:r>
            <w:r w:rsidRPr="00390EA4">
              <w:rPr>
                <w:lang w:val="fr-FR"/>
              </w:rPr>
              <w:t xml:space="preserve"> rétention </w:t>
            </w:r>
            <w:r w:rsidR="00E93A98" w:rsidRPr="00306FB8">
              <w:rPr>
                <w:lang w:val="fr-FR"/>
              </w:rPr>
              <w:t xml:space="preserve">durable </w:t>
            </w:r>
            <w:r w:rsidRPr="00390EA4">
              <w:rPr>
                <w:lang w:val="fr-FR"/>
              </w:rPr>
              <w:t xml:space="preserve">des PVVIH dans les soins. </w:t>
            </w:r>
          </w:p>
          <w:p w14:paraId="61DFF9C4" w14:textId="6A6984D7" w:rsidR="004F3269" w:rsidRPr="00390EA4" w:rsidRDefault="004F3269">
            <w:pPr>
              <w:pStyle w:val="Texteformulaire"/>
              <w:rPr>
                <w:lang w:val="fr-FR"/>
              </w:rPr>
            </w:pPr>
            <w:r w:rsidRPr="00390EA4">
              <w:rPr>
                <w:lang w:val="fr-FR"/>
              </w:rPr>
              <w:t>Ces int</w:t>
            </w:r>
            <w:r>
              <w:rPr>
                <w:lang w:val="fr-FR"/>
              </w:rPr>
              <w:t>erven</w:t>
            </w:r>
            <w:r w:rsidRPr="00390EA4">
              <w:rPr>
                <w:lang w:val="fr-FR"/>
              </w:rPr>
              <w:t xml:space="preserve">tions cibleront les </w:t>
            </w:r>
            <w:proofErr w:type="spellStart"/>
            <w:r w:rsidRPr="00390EA4">
              <w:rPr>
                <w:lang w:val="fr-FR"/>
              </w:rPr>
              <w:t>KPs</w:t>
            </w:r>
            <w:proofErr w:type="spellEnd"/>
            <w:r w:rsidRPr="00390EA4">
              <w:rPr>
                <w:lang w:val="fr-FR"/>
              </w:rPr>
              <w:t xml:space="preserve">, </w:t>
            </w:r>
            <w:r w:rsidR="00C409F4">
              <w:rPr>
                <w:lang w:val="fr-FR"/>
              </w:rPr>
              <w:t xml:space="preserve">ainsi que les PVVIH, </w:t>
            </w:r>
            <w:r w:rsidR="00381FBB">
              <w:rPr>
                <w:lang w:val="fr-FR"/>
              </w:rPr>
              <w:t>les</w:t>
            </w:r>
            <w:r w:rsidRPr="00390EA4">
              <w:rPr>
                <w:lang w:val="fr-FR"/>
              </w:rPr>
              <w:t xml:space="preserve"> adolescents et jeunes, </w:t>
            </w:r>
            <w:r w:rsidR="00C409F4">
              <w:rPr>
                <w:lang w:val="fr-FR"/>
              </w:rPr>
              <w:t xml:space="preserve">les </w:t>
            </w:r>
            <w:r w:rsidR="00381FBB">
              <w:rPr>
                <w:lang w:val="fr-FR"/>
              </w:rPr>
              <w:t>PSH</w:t>
            </w:r>
            <w:r w:rsidRPr="00390EA4">
              <w:rPr>
                <w:lang w:val="fr-FR"/>
              </w:rPr>
              <w:t xml:space="preserve">, </w:t>
            </w:r>
            <w:r w:rsidR="00381FBB">
              <w:rPr>
                <w:lang w:val="fr-FR"/>
              </w:rPr>
              <w:t xml:space="preserve">les personnes en uniforme </w:t>
            </w:r>
            <w:r w:rsidRPr="00390EA4">
              <w:rPr>
                <w:lang w:val="fr-FR"/>
              </w:rPr>
              <w:t xml:space="preserve">et </w:t>
            </w:r>
            <w:r w:rsidR="00C409F4">
              <w:rPr>
                <w:lang w:val="fr-FR"/>
              </w:rPr>
              <w:t xml:space="preserve">les </w:t>
            </w:r>
            <w:r w:rsidRPr="00390EA4">
              <w:rPr>
                <w:lang w:val="fr-FR"/>
              </w:rPr>
              <w:t>clients des TS.</w:t>
            </w:r>
          </w:p>
          <w:p w14:paraId="49F5D278" w14:textId="7C548018" w:rsidR="00F16C1A" w:rsidRPr="00306FB8" w:rsidRDefault="00F16C1A" w:rsidP="005010EE">
            <w:pPr>
              <w:pStyle w:val="Texteformulaire"/>
              <w:rPr>
                <w:lang w:val="fr-FR"/>
              </w:rPr>
            </w:pPr>
            <w:r w:rsidRPr="00390EA4">
              <w:rPr>
                <w:lang w:val="fr-FR"/>
              </w:rPr>
              <w:t xml:space="preserve">Les interventions se feront de façon répétée sur la base </w:t>
            </w:r>
            <w:r w:rsidR="00761278" w:rsidRPr="00306FB8">
              <w:rPr>
                <w:lang w:val="fr-FR"/>
              </w:rPr>
              <w:t>d’</w:t>
            </w:r>
            <w:r w:rsidRPr="00390EA4">
              <w:rPr>
                <w:lang w:val="fr-FR"/>
              </w:rPr>
              <w:t xml:space="preserve">un plan précis en faveur </w:t>
            </w:r>
            <w:r w:rsidRPr="00306FB8">
              <w:rPr>
                <w:lang w:val="fr-FR"/>
              </w:rPr>
              <w:t>de</w:t>
            </w:r>
            <w:r w:rsidR="00E93A98" w:rsidRPr="00306FB8">
              <w:rPr>
                <w:lang w:val="fr-FR"/>
              </w:rPr>
              <w:t xml:space="preserve"> toutes</w:t>
            </w:r>
            <w:r w:rsidR="00542B8F" w:rsidRPr="00306FB8">
              <w:rPr>
                <w:lang w:val="fr-FR"/>
              </w:rPr>
              <w:t xml:space="preserve"> les</w:t>
            </w:r>
            <w:r w:rsidRPr="00306FB8">
              <w:rPr>
                <w:lang w:val="fr-FR"/>
              </w:rPr>
              <w:t xml:space="preserve"> </w:t>
            </w:r>
            <w:r w:rsidRPr="00390EA4">
              <w:rPr>
                <w:lang w:val="fr-FR"/>
              </w:rPr>
              <w:t xml:space="preserve">cibles et à travers des canaux </w:t>
            </w:r>
            <w:r w:rsidR="007507A8" w:rsidRPr="00306FB8">
              <w:rPr>
                <w:lang w:val="fr-FR"/>
              </w:rPr>
              <w:t xml:space="preserve">de communication </w:t>
            </w:r>
            <w:r w:rsidRPr="00390EA4">
              <w:rPr>
                <w:lang w:val="fr-FR"/>
              </w:rPr>
              <w:t>adaptés</w:t>
            </w:r>
            <w:r w:rsidR="00DD2BE7">
              <w:rPr>
                <w:lang w:val="fr-FR"/>
              </w:rPr>
              <w:t xml:space="preserve"> : </w:t>
            </w:r>
            <w:r w:rsidR="00DD2BE7" w:rsidRPr="00306FB8">
              <w:rPr>
                <w:lang w:val="fr-FR"/>
              </w:rPr>
              <w:t>a</w:t>
            </w:r>
            <w:r w:rsidR="00542B8F" w:rsidRPr="00306FB8">
              <w:rPr>
                <w:lang w:val="fr-FR"/>
              </w:rPr>
              <w:t xml:space="preserve">vec la contribution des acteurs </w:t>
            </w:r>
            <w:proofErr w:type="spellStart"/>
            <w:r w:rsidR="00542B8F" w:rsidRPr="00306FB8">
              <w:rPr>
                <w:lang w:val="fr-FR"/>
              </w:rPr>
              <w:t>communataires</w:t>
            </w:r>
            <w:proofErr w:type="spellEnd"/>
            <w:r w:rsidR="00DD2BE7" w:rsidRPr="00306FB8">
              <w:rPr>
                <w:lang w:val="fr-FR"/>
              </w:rPr>
              <w:t xml:space="preserve">, </w:t>
            </w:r>
            <w:r w:rsidR="00542B8F" w:rsidRPr="00306FB8">
              <w:rPr>
                <w:lang w:val="fr-FR"/>
              </w:rPr>
              <w:t>à travers d</w:t>
            </w:r>
            <w:r w:rsidR="00DD2BE7" w:rsidRPr="00306FB8">
              <w:rPr>
                <w:lang w:val="fr-FR"/>
              </w:rPr>
              <w:t>ifférent</w:t>
            </w:r>
            <w:r w:rsidR="00542B8F" w:rsidRPr="00306FB8">
              <w:rPr>
                <w:lang w:val="fr-FR"/>
              </w:rPr>
              <w:t xml:space="preserve">es approches </w:t>
            </w:r>
            <w:r w:rsidR="00DD2BE7" w:rsidRPr="00306FB8">
              <w:rPr>
                <w:lang w:val="fr-FR"/>
              </w:rPr>
              <w:t>(</w:t>
            </w:r>
            <w:proofErr w:type="spellStart"/>
            <w:r w:rsidR="00542B8F" w:rsidRPr="00306FB8">
              <w:rPr>
                <w:lang w:val="fr-FR"/>
              </w:rPr>
              <w:t>Ready</w:t>
            </w:r>
            <w:proofErr w:type="spellEnd"/>
            <w:r w:rsidR="00542B8F" w:rsidRPr="00306FB8">
              <w:rPr>
                <w:lang w:val="fr-FR"/>
              </w:rPr>
              <w:t xml:space="preserve">, </w:t>
            </w:r>
            <w:proofErr w:type="spellStart"/>
            <w:r w:rsidR="00542B8F" w:rsidRPr="00306FB8">
              <w:rPr>
                <w:lang w:val="fr-FR"/>
              </w:rPr>
              <w:t>multimaladies</w:t>
            </w:r>
            <w:proofErr w:type="spellEnd"/>
            <w:r w:rsidR="00542B8F" w:rsidRPr="00306FB8">
              <w:rPr>
                <w:lang w:val="fr-FR"/>
              </w:rPr>
              <w:t xml:space="preserve">, mari-modèle, parent-modèle, etc.) et l’organisation de campagne de sensibilisation lors de journées spéciales (JMLS, </w:t>
            </w:r>
            <w:proofErr w:type="spellStart"/>
            <w:r w:rsidR="00542B8F" w:rsidRPr="00390EA4">
              <w:rPr>
                <w:lang w:val="fr-FR"/>
              </w:rPr>
              <w:t>Paquinou</w:t>
            </w:r>
            <w:proofErr w:type="spellEnd"/>
            <w:r w:rsidR="00542B8F" w:rsidRPr="00390EA4">
              <w:rPr>
                <w:lang w:val="fr-FR"/>
              </w:rPr>
              <w:t xml:space="preserve">, Fête de riz, Tabaski, </w:t>
            </w:r>
            <w:proofErr w:type="spellStart"/>
            <w:r w:rsidR="00542B8F" w:rsidRPr="00390EA4">
              <w:rPr>
                <w:lang w:val="fr-FR"/>
              </w:rPr>
              <w:t>Abissa</w:t>
            </w:r>
            <w:proofErr w:type="spellEnd"/>
            <w:r w:rsidR="00542B8F" w:rsidRPr="00390EA4">
              <w:rPr>
                <w:lang w:val="fr-FR"/>
              </w:rPr>
              <w:t>, Popo carnaval</w:t>
            </w:r>
            <w:r w:rsidR="00542B8F" w:rsidRPr="00390EA4">
              <w:rPr>
                <w:rFonts w:cstheme="minorHAnsi"/>
                <w:lang w:val="fr-FR"/>
              </w:rPr>
              <w:t>, etc.</w:t>
            </w:r>
            <w:r w:rsidR="00542B8F">
              <w:rPr>
                <w:rFonts w:cstheme="minorHAnsi"/>
                <w:lang w:val="fr-FR"/>
              </w:rPr>
              <w:t>)</w:t>
            </w:r>
            <w:r w:rsidR="00341E09" w:rsidRPr="00306FB8">
              <w:rPr>
                <w:lang w:val="fr-FR"/>
              </w:rPr>
              <w:t>.</w:t>
            </w:r>
            <w:r w:rsidR="00220E0D">
              <w:rPr>
                <w:rFonts w:cstheme="minorHAnsi"/>
                <w:lang w:val="fr-FR"/>
              </w:rPr>
              <w:t xml:space="preserve">  Elles seront coordonnées avec celles mises en </w:t>
            </w:r>
            <w:proofErr w:type="spellStart"/>
            <w:r w:rsidR="00220E0D">
              <w:rPr>
                <w:rFonts w:cstheme="minorHAnsi"/>
                <w:lang w:val="fr-FR"/>
              </w:rPr>
              <w:t>oeuvre</w:t>
            </w:r>
            <w:proofErr w:type="spellEnd"/>
            <w:r w:rsidR="00220E0D">
              <w:rPr>
                <w:rFonts w:cstheme="minorHAnsi"/>
                <w:lang w:val="fr-FR"/>
              </w:rPr>
              <w:t xml:space="preserve"> par d’autres programmes ou ministère </w:t>
            </w:r>
          </w:p>
          <w:p w14:paraId="31F6DC2E" w14:textId="77777777" w:rsidR="00341E09" w:rsidRPr="00306FB8" w:rsidRDefault="00341E09" w:rsidP="00341E09">
            <w:pPr>
              <w:pStyle w:val="Texteformulaire"/>
              <w:rPr>
                <w:lang w:val="fr-FR"/>
              </w:rPr>
            </w:pPr>
            <w:r w:rsidRPr="00306FB8">
              <w:rPr>
                <w:lang w:val="fr-FR"/>
              </w:rPr>
              <w:t>Les principales activités de ces interventions sont :</w:t>
            </w:r>
          </w:p>
          <w:p w14:paraId="73083CC2" w14:textId="77777777" w:rsidR="00B744DE" w:rsidRPr="00306FB8" w:rsidRDefault="00F16C1A" w:rsidP="00E6201D">
            <w:pPr>
              <w:pStyle w:val="liste1"/>
            </w:pPr>
            <w:proofErr w:type="spellStart"/>
            <w:r w:rsidRPr="00306FB8">
              <w:t>Elaborer</w:t>
            </w:r>
            <w:proofErr w:type="spellEnd"/>
            <w:r w:rsidRPr="00306FB8">
              <w:t xml:space="preserve"> et diffuser la nouvelle </w:t>
            </w:r>
            <w:proofErr w:type="spellStart"/>
            <w:r w:rsidRPr="00306FB8">
              <w:t>stratégie</w:t>
            </w:r>
            <w:proofErr w:type="spellEnd"/>
            <w:r w:rsidRPr="00306FB8">
              <w:t xml:space="preserve"> </w:t>
            </w:r>
            <w:proofErr w:type="spellStart"/>
            <w:r w:rsidRPr="00306FB8">
              <w:t>nationale</w:t>
            </w:r>
            <w:proofErr w:type="spellEnd"/>
            <w:r w:rsidRPr="00306FB8">
              <w:t xml:space="preserve"> de Communication pour le </w:t>
            </w:r>
            <w:proofErr w:type="spellStart"/>
            <w:r w:rsidRPr="00306FB8">
              <w:t>Changement</w:t>
            </w:r>
            <w:proofErr w:type="spellEnd"/>
            <w:r w:rsidRPr="00306FB8">
              <w:t xml:space="preserve"> Social et </w:t>
            </w:r>
            <w:proofErr w:type="spellStart"/>
            <w:r w:rsidRPr="00306FB8">
              <w:t>Comportemental</w:t>
            </w:r>
            <w:proofErr w:type="spellEnd"/>
          </w:p>
          <w:p w14:paraId="2C6646A1" w14:textId="674F6B1A" w:rsidR="00B744DE" w:rsidRPr="00306FB8" w:rsidRDefault="00B744DE" w:rsidP="00E6201D">
            <w:pPr>
              <w:pStyle w:val="liste1"/>
            </w:pPr>
            <w:proofErr w:type="spellStart"/>
            <w:r w:rsidRPr="00306FB8">
              <w:t>Elaborer</w:t>
            </w:r>
            <w:proofErr w:type="spellEnd"/>
            <w:r w:rsidRPr="00306FB8">
              <w:t xml:space="preserve"> et diffuser les documents de formation sur la </w:t>
            </w:r>
            <w:proofErr w:type="spellStart"/>
            <w:r w:rsidRPr="00306FB8">
              <w:t>prévention</w:t>
            </w:r>
            <w:proofErr w:type="spellEnd"/>
            <w:r w:rsidRPr="00306FB8">
              <w:t xml:space="preserve"> </w:t>
            </w:r>
            <w:proofErr w:type="spellStart"/>
            <w:r w:rsidRPr="00306FB8">
              <w:t>combinée</w:t>
            </w:r>
            <w:proofErr w:type="spellEnd"/>
            <w:r w:rsidRPr="00306FB8">
              <w:t xml:space="preserve"> et la </w:t>
            </w:r>
            <w:proofErr w:type="spellStart"/>
            <w:r w:rsidRPr="00306FB8">
              <w:t>révision</w:t>
            </w:r>
            <w:proofErr w:type="spellEnd"/>
            <w:r w:rsidRPr="00306FB8">
              <w:t xml:space="preserve"> des documents de politique </w:t>
            </w:r>
            <w:proofErr w:type="spellStart"/>
            <w:r w:rsidR="00341E09" w:rsidRPr="00306FB8">
              <w:t>en</w:t>
            </w:r>
            <w:proofErr w:type="spellEnd"/>
            <w:r w:rsidR="00341E09" w:rsidRPr="00306FB8">
              <w:t xml:space="preserve"> direction des populations </w:t>
            </w:r>
            <w:proofErr w:type="spellStart"/>
            <w:r w:rsidR="00341E09" w:rsidRPr="00306FB8">
              <w:t>clés</w:t>
            </w:r>
            <w:proofErr w:type="spellEnd"/>
          </w:p>
          <w:p w14:paraId="769811A5" w14:textId="6CCCA51A" w:rsidR="00F16C1A" w:rsidRPr="00306FB8" w:rsidRDefault="00B744DE" w:rsidP="00E6201D">
            <w:pPr>
              <w:pStyle w:val="liste1"/>
            </w:pPr>
            <w:proofErr w:type="spellStart"/>
            <w:r w:rsidRPr="00306FB8">
              <w:t>Renforcer</w:t>
            </w:r>
            <w:proofErr w:type="spellEnd"/>
            <w:r w:rsidRPr="00306FB8">
              <w:t xml:space="preserve"> les </w:t>
            </w:r>
            <w:proofErr w:type="spellStart"/>
            <w:r w:rsidRPr="00306FB8">
              <w:t>capacités</w:t>
            </w:r>
            <w:proofErr w:type="spellEnd"/>
            <w:r w:rsidRPr="00306FB8">
              <w:t xml:space="preserve"> des </w:t>
            </w:r>
            <w:proofErr w:type="spellStart"/>
            <w:r w:rsidR="00542B8F" w:rsidRPr="00306FB8">
              <w:t>acteurs</w:t>
            </w:r>
            <w:proofErr w:type="spellEnd"/>
            <w:r w:rsidR="00542B8F" w:rsidRPr="00306FB8">
              <w:t xml:space="preserve"> </w:t>
            </w:r>
            <w:r w:rsidRPr="00306FB8">
              <w:t xml:space="preserve">pour </w:t>
            </w:r>
            <w:proofErr w:type="spellStart"/>
            <w:r w:rsidRPr="00306FB8">
              <w:t>l’offre</w:t>
            </w:r>
            <w:proofErr w:type="spellEnd"/>
            <w:r w:rsidRPr="00306FB8">
              <w:t xml:space="preserve"> de services de </w:t>
            </w:r>
            <w:proofErr w:type="spellStart"/>
            <w:r w:rsidRPr="00306FB8">
              <w:t>prévention</w:t>
            </w:r>
            <w:proofErr w:type="spellEnd"/>
            <w:r w:rsidRPr="00306FB8">
              <w:t xml:space="preserve"> </w:t>
            </w:r>
            <w:proofErr w:type="spellStart"/>
            <w:r w:rsidRPr="00306FB8">
              <w:t>en</w:t>
            </w:r>
            <w:proofErr w:type="spellEnd"/>
            <w:r w:rsidRPr="00306FB8">
              <w:t xml:space="preserve"> direction des populations </w:t>
            </w:r>
            <w:proofErr w:type="spellStart"/>
            <w:r w:rsidRPr="00306FB8">
              <w:t>vulnérables</w:t>
            </w:r>
            <w:proofErr w:type="spellEnd"/>
            <w:r w:rsidRPr="00306FB8">
              <w:t xml:space="preserve"> dans </w:t>
            </w:r>
            <w:proofErr w:type="spellStart"/>
            <w:r w:rsidRPr="00306FB8">
              <w:t>l’optique</w:t>
            </w:r>
            <w:proofErr w:type="spellEnd"/>
            <w:r w:rsidRPr="00306FB8">
              <w:t xml:space="preserve"> </w:t>
            </w:r>
            <w:proofErr w:type="spellStart"/>
            <w:r w:rsidRPr="00306FB8">
              <w:t>d’adoption</w:t>
            </w:r>
            <w:proofErr w:type="spellEnd"/>
            <w:r w:rsidRPr="00306FB8">
              <w:t xml:space="preserve"> de </w:t>
            </w:r>
            <w:proofErr w:type="spellStart"/>
            <w:r w:rsidRPr="00306FB8">
              <w:t>comportement</w:t>
            </w:r>
            <w:proofErr w:type="spellEnd"/>
            <w:r w:rsidRPr="00306FB8">
              <w:t xml:space="preserve"> à </w:t>
            </w:r>
            <w:proofErr w:type="spellStart"/>
            <w:r w:rsidRPr="00306FB8">
              <w:t>moindre</w:t>
            </w:r>
            <w:proofErr w:type="spellEnd"/>
            <w:r w:rsidRPr="00306FB8">
              <w:t xml:space="preserve"> </w:t>
            </w:r>
            <w:proofErr w:type="spellStart"/>
            <w:r w:rsidRPr="00306FB8">
              <w:t>risque</w:t>
            </w:r>
            <w:proofErr w:type="spellEnd"/>
            <w:r w:rsidRPr="00306FB8">
              <w:t xml:space="preserve"> </w:t>
            </w:r>
          </w:p>
          <w:p w14:paraId="42E9CECB" w14:textId="3440CF77" w:rsidR="00F16C1A" w:rsidRPr="00306FB8" w:rsidRDefault="00F16C1A" w:rsidP="00E6201D">
            <w:pPr>
              <w:pStyle w:val="liste1"/>
            </w:pPr>
            <w:proofErr w:type="spellStart"/>
            <w:r w:rsidRPr="00306FB8">
              <w:t>Sensibiliser</w:t>
            </w:r>
            <w:proofErr w:type="spellEnd"/>
            <w:r w:rsidRPr="00306FB8">
              <w:t xml:space="preserve"> à travers </w:t>
            </w:r>
            <w:r w:rsidR="00220E0D">
              <w:t xml:space="preserve">des </w:t>
            </w:r>
            <w:proofErr w:type="spellStart"/>
            <w:r w:rsidR="00220E0D">
              <w:t>plateformes</w:t>
            </w:r>
            <w:proofErr w:type="spellEnd"/>
            <w:r w:rsidR="00220E0D">
              <w:t xml:space="preserve"> </w:t>
            </w:r>
            <w:proofErr w:type="spellStart"/>
            <w:r w:rsidR="00220E0D">
              <w:t>ludiques</w:t>
            </w:r>
            <w:proofErr w:type="spellEnd"/>
            <w:r w:rsidRPr="0039052D">
              <w:t xml:space="preserve"> </w:t>
            </w:r>
            <w:r w:rsidR="00220E0D">
              <w:t>(</w:t>
            </w:r>
            <w:r w:rsidR="000C5783">
              <w:t>“A</w:t>
            </w:r>
            <w:r w:rsidRPr="00B307A5">
              <w:t xml:space="preserve"> </w:t>
            </w:r>
            <w:proofErr w:type="spellStart"/>
            <w:r w:rsidRPr="00306FB8">
              <w:t>l'assaut</w:t>
            </w:r>
            <w:proofErr w:type="spellEnd"/>
            <w:r w:rsidRPr="00306FB8">
              <w:t xml:space="preserve"> du </w:t>
            </w:r>
            <w:proofErr w:type="spellStart"/>
            <w:r w:rsidRPr="00306FB8">
              <w:t>sida</w:t>
            </w:r>
            <w:proofErr w:type="spellEnd"/>
            <w:r w:rsidRPr="0039052D">
              <w:t>"</w:t>
            </w:r>
            <w:r w:rsidR="00220E0D">
              <w:t>, E-santé…)</w:t>
            </w:r>
            <w:r w:rsidRPr="00306FB8">
              <w:t xml:space="preserve"> pour changer la perception chez les </w:t>
            </w:r>
            <w:proofErr w:type="spellStart"/>
            <w:r w:rsidRPr="00306FB8">
              <w:t>jeunes</w:t>
            </w:r>
            <w:proofErr w:type="spellEnd"/>
          </w:p>
          <w:p w14:paraId="1EAF124C" w14:textId="77777777" w:rsidR="00F16C1A" w:rsidRPr="00306FB8" w:rsidRDefault="00F16C1A" w:rsidP="00E6201D">
            <w:pPr>
              <w:pStyle w:val="liste1"/>
            </w:pPr>
            <w:proofErr w:type="spellStart"/>
            <w:r w:rsidRPr="00306FB8">
              <w:t>Organiser</w:t>
            </w:r>
            <w:proofErr w:type="spellEnd"/>
            <w:r w:rsidRPr="00306FB8">
              <w:t xml:space="preserve"> des </w:t>
            </w:r>
            <w:proofErr w:type="spellStart"/>
            <w:r w:rsidRPr="00306FB8">
              <w:t>émissions</w:t>
            </w:r>
            <w:proofErr w:type="spellEnd"/>
            <w:r w:rsidRPr="00306FB8">
              <w:t xml:space="preserve"> radio-</w:t>
            </w:r>
            <w:proofErr w:type="spellStart"/>
            <w:r w:rsidRPr="00306FB8">
              <w:t>télévisées</w:t>
            </w:r>
            <w:proofErr w:type="spellEnd"/>
            <w:r w:rsidRPr="00306FB8">
              <w:t xml:space="preserve"> avec des PVVIH </w:t>
            </w:r>
          </w:p>
          <w:p w14:paraId="7ADA3FD4" w14:textId="01E6BC6D" w:rsidR="00A16F51" w:rsidRPr="00306FB8" w:rsidRDefault="00F16C1A" w:rsidP="00E6201D">
            <w:pPr>
              <w:pStyle w:val="liste1"/>
            </w:pPr>
            <w:proofErr w:type="spellStart"/>
            <w:r w:rsidRPr="00306FB8">
              <w:lastRenderedPageBreak/>
              <w:t>Organiser</w:t>
            </w:r>
            <w:proofErr w:type="spellEnd"/>
            <w:r w:rsidRPr="00306FB8">
              <w:t xml:space="preserve"> </w:t>
            </w:r>
            <w:proofErr w:type="spellStart"/>
            <w:r w:rsidRPr="00306FB8">
              <w:t>une</w:t>
            </w:r>
            <w:proofErr w:type="spellEnd"/>
            <w:r w:rsidRPr="00306FB8">
              <w:t xml:space="preserve"> </w:t>
            </w:r>
            <w:proofErr w:type="spellStart"/>
            <w:r w:rsidRPr="00306FB8">
              <w:t>caravane</w:t>
            </w:r>
            <w:proofErr w:type="spellEnd"/>
            <w:r w:rsidRPr="00306FB8">
              <w:t xml:space="preserve"> de </w:t>
            </w:r>
            <w:proofErr w:type="spellStart"/>
            <w:r w:rsidRPr="00306FB8">
              <w:t>sensibilisation</w:t>
            </w:r>
            <w:proofErr w:type="spellEnd"/>
            <w:r w:rsidRPr="00306FB8">
              <w:t xml:space="preserve"> avec des PVVIH dans 5 </w:t>
            </w:r>
            <w:proofErr w:type="spellStart"/>
            <w:r w:rsidRPr="00306FB8">
              <w:t>localités</w:t>
            </w:r>
            <w:proofErr w:type="spellEnd"/>
            <w:r w:rsidRPr="00306FB8">
              <w:t xml:space="preserve"> à forts </w:t>
            </w:r>
            <w:proofErr w:type="spellStart"/>
            <w:r w:rsidRPr="00306FB8">
              <w:t>taux</w:t>
            </w:r>
            <w:proofErr w:type="spellEnd"/>
            <w:r w:rsidRPr="00306FB8">
              <w:t xml:space="preserve"> de </w:t>
            </w:r>
            <w:proofErr w:type="spellStart"/>
            <w:r w:rsidRPr="00306FB8">
              <w:t>stigmatisation</w:t>
            </w:r>
            <w:proofErr w:type="spellEnd"/>
          </w:p>
          <w:p w14:paraId="1BC6B29B" w14:textId="39EAB743" w:rsidR="00341E09" w:rsidRPr="00306FB8" w:rsidRDefault="00A16F51" w:rsidP="00E6201D">
            <w:pPr>
              <w:pStyle w:val="liste1"/>
              <w:rPr>
                <w:lang w:val="fr-CH"/>
              </w:rPr>
            </w:pPr>
            <w:proofErr w:type="spellStart"/>
            <w:r w:rsidRPr="00306FB8">
              <w:t>Elaborer</w:t>
            </w:r>
            <w:proofErr w:type="spellEnd"/>
            <w:r w:rsidR="00341E09" w:rsidRPr="00306FB8">
              <w:t>,</w:t>
            </w:r>
            <w:r w:rsidRPr="00306FB8">
              <w:t xml:space="preserve"> </w:t>
            </w:r>
            <w:proofErr w:type="spellStart"/>
            <w:r w:rsidRPr="00306FB8">
              <w:t>produire</w:t>
            </w:r>
            <w:proofErr w:type="spellEnd"/>
            <w:r w:rsidRPr="00306FB8">
              <w:t xml:space="preserve"> et diffuser des supports de communication </w:t>
            </w:r>
            <w:proofErr w:type="spellStart"/>
            <w:r w:rsidRPr="00306FB8">
              <w:t>visant</w:t>
            </w:r>
            <w:proofErr w:type="spellEnd"/>
            <w:r w:rsidRPr="00306FB8">
              <w:t xml:space="preserve"> à changer la perception du VIH dans la population.</w:t>
            </w:r>
            <w:r w:rsidR="00F16C1A" w:rsidRPr="00306FB8">
              <w:t xml:space="preserve"> </w:t>
            </w:r>
          </w:p>
          <w:p w14:paraId="7C8554D6" w14:textId="5B7EC610" w:rsidR="005360B5" w:rsidRPr="00D53A20" w:rsidRDefault="005360B5" w:rsidP="00E6201D">
            <w:pPr>
              <w:pStyle w:val="liste1"/>
            </w:pPr>
            <w:proofErr w:type="spellStart"/>
            <w:r>
              <w:t>Sensibiliser</w:t>
            </w:r>
            <w:proofErr w:type="spellEnd"/>
            <w:r>
              <w:t xml:space="preserve"> la adolescents et </w:t>
            </w:r>
            <w:proofErr w:type="spellStart"/>
            <w:r>
              <w:t>jeunes</w:t>
            </w:r>
            <w:proofErr w:type="spellEnd"/>
            <w:r>
              <w:t xml:space="preserve"> à travers le </w:t>
            </w:r>
            <w:proofErr w:type="spellStart"/>
            <w:r>
              <w:t>partenariat</w:t>
            </w:r>
            <w:proofErr w:type="spellEnd"/>
            <w:r>
              <w:t xml:space="preserve"> avec les medias </w:t>
            </w:r>
            <w:proofErr w:type="spellStart"/>
            <w:r>
              <w:t>classiques</w:t>
            </w:r>
            <w:proofErr w:type="spellEnd"/>
            <w:r>
              <w:t xml:space="preserve"> (Presse </w:t>
            </w:r>
            <w:proofErr w:type="spellStart"/>
            <w:r>
              <w:t>écrite</w:t>
            </w:r>
            <w:proofErr w:type="spellEnd"/>
            <w:r>
              <w:t xml:space="preserve">, Radio et TV) et les </w:t>
            </w:r>
            <w:proofErr w:type="spellStart"/>
            <w:r>
              <w:t>réseaux</w:t>
            </w:r>
            <w:proofErr w:type="spellEnd"/>
            <w:r>
              <w:t xml:space="preserve"> </w:t>
            </w:r>
            <w:proofErr w:type="spellStart"/>
            <w:r>
              <w:t>sociaux</w:t>
            </w:r>
            <w:proofErr w:type="spellEnd"/>
            <w:r>
              <w:t xml:space="preserve"> (Facebook, Instagram, Twitter, </w:t>
            </w:r>
            <w:proofErr w:type="spellStart"/>
            <w:r>
              <w:t>WatSap</w:t>
            </w:r>
            <w:proofErr w:type="spellEnd"/>
            <w:r>
              <w:t xml:space="preserve">). </w:t>
            </w:r>
          </w:p>
          <w:p w14:paraId="7E3C47B7" w14:textId="548DDA9B" w:rsidR="00341E09" w:rsidRPr="003A3250" w:rsidRDefault="00341E09" w:rsidP="00341E09">
            <w:pPr>
              <w:pStyle w:val="Texteformulaire"/>
              <w:rPr>
                <w:lang w:val="fr-FR"/>
              </w:rPr>
            </w:pPr>
            <w:r>
              <w:rPr>
                <w:lang w:val="fr-FR"/>
              </w:rPr>
              <w:t xml:space="preserve">Ces </w:t>
            </w:r>
            <w:r w:rsidRPr="00390EA4">
              <w:rPr>
                <w:lang w:val="fr-FR"/>
              </w:rPr>
              <w:t xml:space="preserve">activités seront développées dans l’ensemble du pays, avec un ciblage particulier sur les </w:t>
            </w:r>
            <w:r w:rsidR="001E433A" w:rsidRPr="00390EA4">
              <w:rPr>
                <w:lang w:val="fr-FR"/>
              </w:rPr>
              <w:t>41</w:t>
            </w:r>
            <w:r w:rsidRPr="00390EA4">
              <w:rPr>
                <w:lang w:val="fr-FR"/>
              </w:rPr>
              <w:t xml:space="preserve"> DS prioritaires </w:t>
            </w:r>
            <w:r w:rsidR="000E7F91" w:rsidRPr="00390EA4">
              <w:rPr>
                <w:lang w:val="fr-FR"/>
              </w:rPr>
              <w:t xml:space="preserve">où Alliance intervient </w:t>
            </w:r>
            <w:r w:rsidRPr="00390EA4">
              <w:rPr>
                <w:lang w:val="fr-FR"/>
              </w:rPr>
              <w:t xml:space="preserve">auprès des </w:t>
            </w:r>
            <w:proofErr w:type="spellStart"/>
            <w:r w:rsidRPr="00390EA4">
              <w:rPr>
                <w:lang w:val="fr-FR"/>
              </w:rPr>
              <w:t>KPs</w:t>
            </w:r>
            <w:proofErr w:type="spellEnd"/>
            <w:r w:rsidRPr="00390EA4">
              <w:rPr>
                <w:lang w:val="fr-FR"/>
              </w:rPr>
              <w:t xml:space="preserve"> </w:t>
            </w:r>
            <w:r w:rsidR="001E433A" w:rsidRPr="00390EA4">
              <w:rPr>
                <w:lang w:val="fr-FR"/>
              </w:rPr>
              <w:t xml:space="preserve">(26 DS) </w:t>
            </w:r>
            <w:r w:rsidRPr="00390EA4">
              <w:rPr>
                <w:lang w:val="fr-FR"/>
              </w:rPr>
              <w:t>et des ado et jeunes</w:t>
            </w:r>
            <w:r w:rsidR="001E433A" w:rsidRPr="00390EA4">
              <w:rPr>
                <w:lang w:val="fr-FR"/>
              </w:rPr>
              <w:t xml:space="preserve"> (41 DS)</w:t>
            </w:r>
            <w:r w:rsidRPr="00390EA4">
              <w:rPr>
                <w:lang w:val="fr-FR"/>
              </w:rPr>
              <w:t>.</w:t>
            </w:r>
            <w:r w:rsidRPr="003A3250">
              <w:rPr>
                <w:lang w:val="fr-FR"/>
              </w:rPr>
              <w:t xml:space="preserve"> </w:t>
            </w:r>
          </w:p>
          <w:p w14:paraId="1A984E48" w14:textId="5C93EAE7" w:rsidR="00341E09" w:rsidRDefault="00341E09" w:rsidP="00341E09">
            <w:pPr>
              <w:pStyle w:val="Texteformulaire"/>
              <w:rPr>
                <w:lang w:val="fr-FR"/>
              </w:rPr>
            </w:pPr>
            <w:r w:rsidRPr="00390EA4">
              <w:rPr>
                <w:lang w:val="fr-FR"/>
              </w:rPr>
              <w:t xml:space="preserve">PEPFAR investit également de façon significative dans ce domaine, ciblant les </w:t>
            </w:r>
            <w:proofErr w:type="spellStart"/>
            <w:r w:rsidRPr="00390EA4">
              <w:rPr>
                <w:lang w:val="fr-FR"/>
              </w:rPr>
              <w:t>KPs</w:t>
            </w:r>
            <w:proofErr w:type="spellEnd"/>
            <w:r w:rsidRPr="00390EA4">
              <w:rPr>
                <w:lang w:val="fr-FR"/>
              </w:rPr>
              <w:t xml:space="preserve">, les ado et jeunes (DREAM, </w:t>
            </w:r>
            <w:proofErr w:type="spellStart"/>
            <w:r w:rsidRPr="00390EA4">
              <w:rPr>
                <w:lang w:val="fr-FR"/>
              </w:rPr>
              <w:t>SuperGo</w:t>
            </w:r>
            <w:proofErr w:type="spellEnd"/>
            <w:r w:rsidRPr="00390EA4">
              <w:rPr>
                <w:lang w:val="fr-FR"/>
              </w:rPr>
              <w:t>), les hommes &gt; 25 ans</w:t>
            </w:r>
            <w:r w:rsidR="000E7F91">
              <w:rPr>
                <w:lang w:val="fr-FR"/>
              </w:rPr>
              <w:t>, dans 60 DS.</w:t>
            </w:r>
          </w:p>
          <w:p w14:paraId="4D7DA934" w14:textId="7645531B" w:rsidR="00F16C1A" w:rsidRPr="00F51D57" w:rsidRDefault="00AB286C" w:rsidP="00390EA4">
            <w:pPr>
              <w:autoSpaceDE w:val="0"/>
              <w:autoSpaceDN w:val="0"/>
              <w:adjustRightInd w:val="0"/>
              <w:spacing w:after="0" w:line="240" w:lineRule="auto"/>
              <w:rPr>
                <w:b/>
                <w:bCs/>
                <w:iCs/>
                <w:color w:val="0070C0"/>
                <w:sz w:val="22"/>
                <w:szCs w:val="22"/>
              </w:rPr>
            </w:pPr>
            <w:r w:rsidRPr="00AB286C">
              <w:rPr>
                <w:b/>
                <w:bCs/>
                <w:iCs/>
                <w:sz w:val="22"/>
                <w:szCs w:val="22"/>
              </w:rPr>
              <w:t xml:space="preserve">Cf. </w:t>
            </w:r>
            <w:proofErr w:type="spellStart"/>
            <w:r w:rsidRPr="00AB286C">
              <w:rPr>
                <w:b/>
                <w:bCs/>
                <w:iCs/>
                <w:sz w:val="22"/>
                <w:szCs w:val="22"/>
              </w:rPr>
              <w:t>cartographie</w:t>
            </w:r>
            <w:proofErr w:type="spellEnd"/>
            <w:r w:rsidRPr="00AB286C">
              <w:rPr>
                <w:b/>
                <w:bCs/>
                <w:iCs/>
                <w:sz w:val="22"/>
                <w:szCs w:val="22"/>
              </w:rPr>
              <w:t xml:space="preserve"> de </w:t>
            </w:r>
            <w:proofErr w:type="spellStart"/>
            <w:r w:rsidRPr="00AB286C">
              <w:rPr>
                <w:b/>
                <w:bCs/>
                <w:iCs/>
                <w:sz w:val="22"/>
                <w:szCs w:val="22"/>
              </w:rPr>
              <w:t>l’offre</w:t>
            </w:r>
            <w:proofErr w:type="spellEnd"/>
            <w:r w:rsidRPr="00AB286C">
              <w:rPr>
                <w:b/>
                <w:bCs/>
                <w:iCs/>
                <w:sz w:val="22"/>
                <w:szCs w:val="22"/>
              </w:rPr>
              <w:t xml:space="preserve"> de services PEPFAR et FM</w:t>
            </w:r>
            <w:r w:rsidR="00F51D57">
              <w:rPr>
                <w:b/>
                <w:bCs/>
                <w:iCs/>
                <w:sz w:val="22"/>
                <w:szCs w:val="22"/>
              </w:rPr>
              <w:t xml:space="preserve"> </w:t>
            </w:r>
            <w:r w:rsidR="0002374C" w:rsidRPr="0002374C">
              <w:rPr>
                <w:i/>
                <w:sz w:val="22"/>
                <w:szCs w:val="22"/>
              </w:rPr>
              <w:t>(</w:t>
            </w:r>
            <w:proofErr w:type="spellStart"/>
            <w:r w:rsidR="0002374C" w:rsidRPr="0002374C">
              <w:rPr>
                <w:i/>
                <w:sz w:val="22"/>
                <w:szCs w:val="22"/>
              </w:rPr>
              <w:t>Annexe</w:t>
            </w:r>
            <w:proofErr w:type="spellEnd"/>
            <w:r w:rsidR="0002374C" w:rsidRPr="0002374C">
              <w:rPr>
                <w:i/>
                <w:sz w:val="22"/>
                <w:szCs w:val="22"/>
              </w:rPr>
              <w:t xml:space="preserve"> </w:t>
            </w:r>
            <w:r w:rsidR="0002374C">
              <w:rPr>
                <w:i/>
                <w:sz w:val="22"/>
                <w:szCs w:val="22"/>
              </w:rPr>
              <w:t>27</w:t>
            </w:r>
            <w:r w:rsidR="0002374C" w:rsidRPr="0002374C">
              <w:rPr>
                <w:i/>
                <w:sz w:val="22"/>
                <w:szCs w:val="22"/>
              </w:rPr>
              <w:t>)</w:t>
            </w:r>
          </w:p>
          <w:p w14:paraId="30EA60B1" w14:textId="77777777" w:rsidR="00AB286C" w:rsidRPr="00FC6510" w:rsidRDefault="00AB286C" w:rsidP="00390EA4">
            <w:pPr>
              <w:autoSpaceDE w:val="0"/>
              <w:autoSpaceDN w:val="0"/>
              <w:adjustRightInd w:val="0"/>
              <w:spacing w:after="0" w:line="240" w:lineRule="auto"/>
              <w:rPr>
                <w:rFonts w:eastAsia="Times New Roman" w:cstheme="minorHAnsi"/>
                <w:highlight w:val="cyan"/>
                <w:lang w:bidi="en-US"/>
              </w:rPr>
            </w:pPr>
          </w:p>
          <w:p w14:paraId="68D11C62" w14:textId="77777777" w:rsidR="00F16C1A" w:rsidRPr="001B7DE0" w:rsidRDefault="00F16C1A" w:rsidP="001B7DE0">
            <w:pPr>
              <w:pStyle w:val="Default"/>
              <w:numPr>
                <w:ilvl w:val="0"/>
                <w:numId w:val="30"/>
              </w:numPr>
              <w:rPr>
                <w:b/>
                <w:sz w:val="22"/>
              </w:rPr>
            </w:pPr>
            <w:proofErr w:type="spellStart"/>
            <w:r w:rsidRPr="001B7DE0">
              <w:rPr>
                <w:b/>
                <w:sz w:val="22"/>
              </w:rPr>
              <w:t>PrEP</w:t>
            </w:r>
            <w:proofErr w:type="spellEnd"/>
          </w:p>
          <w:p w14:paraId="16C3B051" w14:textId="53DF626F" w:rsidR="00EB27C2" w:rsidRDefault="00F16C1A" w:rsidP="005010EE">
            <w:pPr>
              <w:pStyle w:val="Texteformulaire"/>
              <w:rPr>
                <w:lang w:val="fr-FR"/>
              </w:rPr>
            </w:pPr>
            <w:r w:rsidRPr="00390EA4">
              <w:rPr>
                <w:lang w:val="fr-FR"/>
              </w:rPr>
              <w:t xml:space="preserve">Il s’agira de mettre à échelle le programme de </w:t>
            </w:r>
            <w:proofErr w:type="spellStart"/>
            <w:r w:rsidRPr="00390EA4">
              <w:rPr>
                <w:lang w:val="fr-FR"/>
              </w:rPr>
              <w:t>PrEP</w:t>
            </w:r>
            <w:proofErr w:type="spellEnd"/>
            <w:r w:rsidRPr="00390EA4">
              <w:rPr>
                <w:lang w:val="fr-FR"/>
              </w:rPr>
              <w:t xml:space="preserve"> chez 10% de PS</w:t>
            </w:r>
            <w:r w:rsidR="000C5783">
              <w:rPr>
                <w:lang w:val="fr-FR"/>
              </w:rPr>
              <w:t>,</w:t>
            </w:r>
            <w:r w:rsidRPr="00390EA4">
              <w:rPr>
                <w:lang w:val="fr-FR"/>
              </w:rPr>
              <w:t xml:space="preserve"> 20%</w:t>
            </w:r>
            <w:r w:rsidR="003E794F">
              <w:rPr>
                <w:lang w:val="fr-FR"/>
              </w:rPr>
              <w:t xml:space="preserve"> des</w:t>
            </w:r>
            <w:r w:rsidRPr="00390EA4">
              <w:rPr>
                <w:lang w:val="fr-FR"/>
              </w:rPr>
              <w:t xml:space="preserve"> HSH</w:t>
            </w:r>
            <w:r w:rsidR="00EB27C2">
              <w:rPr>
                <w:lang w:val="fr-FR"/>
              </w:rPr>
              <w:t xml:space="preserve"> </w:t>
            </w:r>
            <w:r w:rsidR="00EB27C2" w:rsidRPr="00AA025F">
              <w:rPr>
                <w:lang w:val="fr-FR"/>
              </w:rPr>
              <w:t xml:space="preserve">et transgenres séronégatifs à risque </w:t>
            </w:r>
            <w:r w:rsidR="00EB27C2">
              <w:rPr>
                <w:lang w:val="fr-FR"/>
              </w:rPr>
              <w:t>d’ici fin 2025,</w:t>
            </w:r>
            <w:r w:rsidRPr="00390EA4">
              <w:rPr>
                <w:lang w:val="fr-FR"/>
              </w:rPr>
              <w:t xml:space="preserve"> dans </w:t>
            </w:r>
            <w:r w:rsidR="00EB27C2">
              <w:rPr>
                <w:lang w:val="fr-FR"/>
              </w:rPr>
              <w:t>3</w:t>
            </w:r>
            <w:r w:rsidRPr="00390EA4">
              <w:rPr>
                <w:lang w:val="fr-FR"/>
              </w:rPr>
              <w:t>9 districts sanitaires</w:t>
            </w:r>
            <w:r w:rsidR="00EB27C2">
              <w:rPr>
                <w:lang w:val="fr-FR"/>
              </w:rPr>
              <w:t xml:space="preserve"> prioritaires</w:t>
            </w:r>
            <w:r w:rsidRPr="00390EA4">
              <w:rPr>
                <w:lang w:val="fr-FR"/>
              </w:rPr>
              <w:t xml:space="preserve">. Les adolescents et jeunes filles en situation de vulnérabilité seront </w:t>
            </w:r>
            <w:r w:rsidR="00EB27C2" w:rsidRPr="00B7433D">
              <w:rPr>
                <w:lang w:val="fr-FR"/>
              </w:rPr>
              <w:t>également</w:t>
            </w:r>
            <w:r w:rsidR="00EB27C2" w:rsidRPr="00390EA4">
              <w:rPr>
                <w:lang w:val="fr-FR"/>
              </w:rPr>
              <w:t xml:space="preserve"> </w:t>
            </w:r>
            <w:r w:rsidRPr="00390EA4">
              <w:rPr>
                <w:lang w:val="fr-FR"/>
              </w:rPr>
              <w:t xml:space="preserve">pris en compte. </w:t>
            </w:r>
          </w:p>
          <w:p w14:paraId="22263E7A" w14:textId="22335587" w:rsidR="00F16C1A" w:rsidRPr="00306FB8" w:rsidRDefault="00EB27C2" w:rsidP="005010EE">
            <w:pPr>
              <w:pStyle w:val="Texteformulaire"/>
              <w:rPr>
                <w:lang w:val="fr-FR"/>
              </w:rPr>
            </w:pPr>
            <w:r w:rsidRPr="00306FB8">
              <w:rPr>
                <w:lang w:val="fr-FR"/>
              </w:rPr>
              <w:t xml:space="preserve">Les principales activités de ces interventions sont </w:t>
            </w:r>
          </w:p>
          <w:p w14:paraId="303786BE" w14:textId="77777777" w:rsidR="00F16C1A" w:rsidRPr="00390EA4" w:rsidRDefault="00F16C1A" w:rsidP="00E6201D">
            <w:pPr>
              <w:pStyle w:val="liste1"/>
            </w:pPr>
            <w:proofErr w:type="spellStart"/>
            <w:r w:rsidRPr="00306FB8">
              <w:t>Renforcer</w:t>
            </w:r>
            <w:proofErr w:type="spellEnd"/>
            <w:r w:rsidRPr="00306FB8">
              <w:t xml:space="preserve"> les </w:t>
            </w:r>
            <w:proofErr w:type="spellStart"/>
            <w:r w:rsidRPr="00306FB8">
              <w:t>capacités</w:t>
            </w:r>
            <w:proofErr w:type="spellEnd"/>
            <w:r w:rsidRPr="00306FB8">
              <w:t xml:space="preserve"> de 14 </w:t>
            </w:r>
            <w:proofErr w:type="spellStart"/>
            <w:r w:rsidRPr="00306FB8">
              <w:t>centres</w:t>
            </w:r>
            <w:proofErr w:type="spellEnd"/>
            <w:r w:rsidRPr="00306FB8">
              <w:t xml:space="preserve"> de PEC </w:t>
            </w:r>
            <w:proofErr w:type="spellStart"/>
            <w:r w:rsidRPr="00306FB8">
              <w:t>adaptés</w:t>
            </w:r>
            <w:proofErr w:type="spellEnd"/>
            <w:r w:rsidRPr="00306FB8">
              <w:t xml:space="preserve"> et </w:t>
            </w:r>
            <w:proofErr w:type="spellStart"/>
            <w:r w:rsidRPr="00306FB8">
              <w:t>dédiés</w:t>
            </w:r>
            <w:proofErr w:type="spellEnd"/>
            <w:r w:rsidRPr="00306FB8">
              <w:t xml:space="preserve"> aux populations </w:t>
            </w:r>
            <w:proofErr w:type="spellStart"/>
            <w:r w:rsidRPr="00306FB8">
              <w:t>clés</w:t>
            </w:r>
            <w:proofErr w:type="spellEnd"/>
            <w:r w:rsidRPr="00306FB8">
              <w:t xml:space="preserve">. </w:t>
            </w:r>
          </w:p>
          <w:p w14:paraId="5D38F83F" w14:textId="77777777" w:rsidR="00F16C1A" w:rsidRPr="00390EA4" w:rsidRDefault="00F16C1A" w:rsidP="00E6201D">
            <w:pPr>
              <w:pStyle w:val="liste1"/>
            </w:pPr>
            <w:r w:rsidRPr="00306FB8">
              <w:t xml:space="preserve">Acquisition des </w:t>
            </w:r>
            <w:proofErr w:type="spellStart"/>
            <w:r w:rsidRPr="00306FB8">
              <w:t>produits</w:t>
            </w:r>
            <w:proofErr w:type="spellEnd"/>
            <w:r w:rsidRPr="00306FB8">
              <w:t xml:space="preserve"> et </w:t>
            </w:r>
            <w:proofErr w:type="spellStart"/>
            <w:r w:rsidRPr="00306FB8">
              <w:t>consommables</w:t>
            </w:r>
            <w:proofErr w:type="spellEnd"/>
            <w:r w:rsidRPr="00306FB8">
              <w:t xml:space="preserve"> pour la </w:t>
            </w:r>
            <w:proofErr w:type="spellStart"/>
            <w:r w:rsidRPr="00306FB8">
              <w:t>PrEP</w:t>
            </w:r>
            <w:proofErr w:type="spellEnd"/>
          </w:p>
          <w:p w14:paraId="698AF22A" w14:textId="1B1D3372" w:rsidR="00A42674" w:rsidRPr="00390EA4" w:rsidRDefault="00F16C1A" w:rsidP="00E6201D">
            <w:pPr>
              <w:pStyle w:val="liste1"/>
            </w:pPr>
            <w:r w:rsidRPr="00306FB8">
              <w:t xml:space="preserve">Assurer le </w:t>
            </w:r>
            <w:proofErr w:type="spellStart"/>
            <w:r w:rsidRPr="00306FB8">
              <w:t>suivi</w:t>
            </w:r>
            <w:proofErr w:type="spellEnd"/>
            <w:r w:rsidRPr="00306FB8">
              <w:t xml:space="preserve"> </w:t>
            </w:r>
            <w:proofErr w:type="spellStart"/>
            <w:r w:rsidRPr="00306FB8">
              <w:t>communautaire</w:t>
            </w:r>
            <w:proofErr w:type="spellEnd"/>
            <w:r w:rsidRPr="00306FB8">
              <w:t xml:space="preserve"> des </w:t>
            </w:r>
            <w:proofErr w:type="spellStart"/>
            <w:r w:rsidRPr="00306FB8">
              <w:t>personnes</w:t>
            </w:r>
            <w:proofErr w:type="spellEnd"/>
            <w:r w:rsidRPr="00306FB8">
              <w:t xml:space="preserve"> sous </w:t>
            </w:r>
            <w:proofErr w:type="spellStart"/>
            <w:r w:rsidRPr="00306FB8">
              <w:t>PrEP</w:t>
            </w:r>
            <w:proofErr w:type="spellEnd"/>
            <w:r w:rsidRPr="00306FB8">
              <w:t xml:space="preserve"> </w:t>
            </w:r>
          </w:p>
          <w:p w14:paraId="1E73ED51" w14:textId="77777777" w:rsidR="00EB27C2" w:rsidRDefault="00A42674" w:rsidP="00A42674">
            <w:pPr>
              <w:pStyle w:val="Texteformulaire"/>
              <w:rPr>
                <w:lang w:val="fr-FR"/>
              </w:rPr>
            </w:pPr>
            <w:r>
              <w:rPr>
                <w:lang w:val="fr-FR"/>
              </w:rPr>
              <w:t xml:space="preserve">L’essentiel de la mise en œuvre de la </w:t>
            </w:r>
            <w:proofErr w:type="spellStart"/>
            <w:r>
              <w:rPr>
                <w:lang w:val="fr-FR"/>
              </w:rPr>
              <w:t>PrEP</w:t>
            </w:r>
            <w:proofErr w:type="spellEnd"/>
            <w:r>
              <w:rPr>
                <w:lang w:val="fr-FR"/>
              </w:rPr>
              <w:t xml:space="preserve"> sera effectué dans 28 sites publics de prise en charge appuyés par PEPFAR et 11 sites appuyés par le FM, </w:t>
            </w:r>
            <w:r w:rsidR="00EB27C2">
              <w:rPr>
                <w:lang w:val="fr-FR"/>
              </w:rPr>
              <w:t xml:space="preserve">tous situés dans les DS prioritaires d’interventions sur les </w:t>
            </w:r>
            <w:proofErr w:type="spellStart"/>
            <w:r w:rsidR="00EB27C2">
              <w:rPr>
                <w:lang w:val="fr-FR"/>
              </w:rPr>
              <w:t>KPs</w:t>
            </w:r>
            <w:proofErr w:type="spellEnd"/>
            <w:r w:rsidR="00EB27C2">
              <w:rPr>
                <w:lang w:val="fr-FR"/>
              </w:rPr>
              <w:t xml:space="preserve">, </w:t>
            </w:r>
            <w:r>
              <w:rPr>
                <w:lang w:val="fr-FR"/>
              </w:rPr>
              <w:t xml:space="preserve">avec le concours des OSC de proximité. </w:t>
            </w:r>
          </w:p>
          <w:p w14:paraId="6EEBC344" w14:textId="7F1D347F" w:rsidR="00A42674" w:rsidRPr="00390EA4" w:rsidRDefault="00A42674" w:rsidP="00390EA4">
            <w:pPr>
              <w:pStyle w:val="Texteformulaire"/>
              <w:rPr>
                <w:lang w:val="fr-FR"/>
              </w:rPr>
            </w:pPr>
            <w:r w:rsidRPr="00390EA4">
              <w:rPr>
                <w:lang w:val="fr-FR"/>
              </w:rPr>
              <w:t xml:space="preserve">PEPFAR cible 222 TS </w:t>
            </w:r>
            <w:r>
              <w:rPr>
                <w:lang w:val="fr-FR"/>
              </w:rPr>
              <w:t>en 2021.</w:t>
            </w:r>
            <w:r w:rsidRPr="00390EA4">
              <w:rPr>
                <w:lang w:val="fr-FR"/>
              </w:rPr>
              <w:t xml:space="preserve"> </w:t>
            </w:r>
          </w:p>
          <w:p w14:paraId="097AD1F9" w14:textId="77777777" w:rsidR="00F16C1A" w:rsidRPr="00390EA4" w:rsidRDefault="00F16C1A" w:rsidP="00390EA4">
            <w:pPr>
              <w:pStyle w:val="ListParagraph"/>
              <w:spacing w:after="0" w:line="240" w:lineRule="auto"/>
              <w:rPr>
                <w:u w:val="single"/>
              </w:rPr>
            </w:pPr>
          </w:p>
          <w:p w14:paraId="47D5E0C0" w14:textId="77777777" w:rsidR="00F16C1A" w:rsidRPr="001B7DE0" w:rsidRDefault="00F16C1A" w:rsidP="001B7DE0">
            <w:pPr>
              <w:pStyle w:val="Default"/>
              <w:numPr>
                <w:ilvl w:val="0"/>
                <w:numId w:val="30"/>
              </w:numPr>
              <w:rPr>
                <w:b/>
                <w:sz w:val="22"/>
              </w:rPr>
            </w:pPr>
            <w:r w:rsidRPr="00306FB8">
              <w:rPr>
                <w:b/>
                <w:sz w:val="22"/>
              </w:rPr>
              <w:t xml:space="preserve">Services de santé </w:t>
            </w:r>
            <w:proofErr w:type="spellStart"/>
            <w:r w:rsidRPr="00306FB8">
              <w:rPr>
                <w:b/>
                <w:sz w:val="22"/>
              </w:rPr>
              <w:t>sexuelle</w:t>
            </w:r>
            <w:proofErr w:type="spellEnd"/>
            <w:r w:rsidRPr="00306FB8">
              <w:rPr>
                <w:b/>
                <w:sz w:val="22"/>
              </w:rPr>
              <w:t xml:space="preserve"> et reproductive, y </w:t>
            </w:r>
            <w:proofErr w:type="spellStart"/>
            <w:r w:rsidRPr="00306FB8">
              <w:rPr>
                <w:b/>
                <w:sz w:val="22"/>
              </w:rPr>
              <w:t>compris</w:t>
            </w:r>
            <w:proofErr w:type="spellEnd"/>
            <w:r w:rsidRPr="00306FB8">
              <w:rPr>
                <w:b/>
                <w:sz w:val="22"/>
              </w:rPr>
              <w:t xml:space="preserve"> </w:t>
            </w:r>
            <w:proofErr w:type="spellStart"/>
            <w:r w:rsidRPr="00306FB8">
              <w:rPr>
                <w:b/>
                <w:sz w:val="22"/>
              </w:rPr>
              <w:t>en</w:t>
            </w:r>
            <w:proofErr w:type="spellEnd"/>
            <w:r w:rsidRPr="00306FB8">
              <w:rPr>
                <w:b/>
                <w:sz w:val="22"/>
              </w:rPr>
              <w:t xml:space="preserve"> matière </w:t>
            </w:r>
            <w:proofErr w:type="spellStart"/>
            <w:r w:rsidRPr="00306FB8">
              <w:rPr>
                <w:b/>
                <w:sz w:val="22"/>
              </w:rPr>
              <w:t>d’IST</w:t>
            </w:r>
            <w:proofErr w:type="spellEnd"/>
          </w:p>
          <w:p w14:paraId="7EA8B57B" w14:textId="26E624A5" w:rsidR="00F4009D" w:rsidRDefault="00F16C1A" w:rsidP="005010EE">
            <w:pPr>
              <w:pStyle w:val="Texteformulaire"/>
              <w:rPr>
                <w:lang w:val="fr-FR"/>
              </w:rPr>
            </w:pPr>
            <w:r w:rsidRPr="00390EA4">
              <w:rPr>
                <w:lang w:val="fr-FR"/>
              </w:rPr>
              <w:t>Il est prévu une intensification des activités de pr</w:t>
            </w:r>
            <w:r w:rsidR="00EB27C2">
              <w:rPr>
                <w:lang w:val="fr-FR"/>
              </w:rPr>
              <w:t>é</w:t>
            </w:r>
            <w:r w:rsidRPr="00390EA4">
              <w:rPr>
                <w:lang w:val="fr-FR"/>
              </w:rPr>
              <w:t>vention et de prise en charge des IST</w:t>
            </w:r>
            <w:r w:rsidR="00EB27C2">
              <w:rPr>
                <w:lang w:val="fr-FR"/>
              </w:rPr>
              <w:t>,</w:t>
            </w:r>
            <w:r w:rsidRPr="00390EA4">
              <w:rPr>
                <w:lang w:val="fr-FR"/>
              </w:rPr>
              <w:t xml:space="preserve"> y compris le dépistage d</w:t>
            </w:r>
            <w:r w:rsidR="00EB27C2">
              <w:rPr>
                <w:lang w:val="fr-FR"/>
              </w:rPr>
              <w:t>u</w:t>
            </w:r>
            <w:r w:rsidRPr="00390EA4">
              <w:rPr>
                <w:lang w:val="fr-FR"/>
              </w:rPr>
              <w:t xml:space="preserve"> cancer du col de l’utérus et </w:t>
            </w:r>
            <w:r w:rsidR="00F4009D">
              <w:rPr>
                <w:lang w:val="fr-FR"/>
              </w:rPr>
              <w:t>anorectal</w:t>
            </w:r>
            <w:r w:rsidRPr="00390EA4">
              <w:rPr>
                <w:lang w:val="fr-FR"/>
              </w:rPr>
              <w:t xml:space="preserve"> </w:t>
            </w:r>
            <w:r w:rsidR="00EB27C2">
              <w:rPr>
                <w:lang w:val="fr-FR"/>
              </w:rPr>
              <w:t>dans</w:t>
            </w:r>
            <w:r w:rsidR="00EB27C2" w:rsidRPr="00390EA4">
              <w:rPr>
                <w:lang w:val="fr-FR"/>
              </w:rPr>
              <w:t xml:space="preserve"> </w:t>
            </w:r>
            <w:r w:rsidRPr="00390EA4">
              <w:rPr>
                <w:lang w:val="fr-FR"/>
              </w:rPr>
              <w:t xml:space="preserve">les </w:t>
            </w:r>
            <w:proofErr w:type="spellStart"/>
            <w:r w:rsidR="00F4009D">
              <w:rPr>
                <w:lang w:val="fr-FR"/>
              </w:rPr>
              <w:t>KPs</w:t>
            </w:r>
            <w:proofErr w:type="spellEnd"/>
            <w:r w:rsidRPr="00390EA4">
              <w:rPr>
                <w:lang w:val="fr-FR"/>
              </w:rPr>
              <w:t xml:space="preserve"> et vulnérables. </w:t>
            </w:r>
            <w:r w:rsidR="00EB27C2">
              <w:rPr>
                <w:lang w:val="fr-FR"/>
              </w:rPr>
              <w:t>D</w:t>
            </w:r>
            <w:r w:rsidRPr="00390EA4">
              <w:rPr>
                <w:lang w:val="fr-FR"/>
              </w:rPr>
              <w:t xml:space="preserve">es </w:t>
            </w:r>
            <w:r w:rsidR="00EB27C2">
              <w:rPr>
                <w:lang w:val="fr-FR"/>
              </w:rPr>
              <w:t xml:space="preserve">interventions en </w:t>
            </w:r>
            <w:r w:rsidRPr="00390EA4">
              <w:rPr>
                <w:lang w:val="fr-FR"/>
              </w:rPr>
              <w:t>strat</w:t>
            </w:r>
            <w:r w:rsidR="00EB27C2">
              <w:rPr>
                <w:lang w:val="fr-FR"/>
              </w:rPr>
              <w:t>é</w:t>
            </w:r>
            <w:r w:rsidRPr="00390EA4">
              <w:rPr>
                <w:lang w:val="fr-FR"/>
              </w:rPr>
              <w:t>gie avancée impliquant professionnels de santé e</w:t>
            </w:r>
            <w:r w:rsidR="00EB27C2">
              <w:rPr>
                <w:lang w:val="fr-FR"/>
              </w:rPr>
              <w:t>t</w:t>
            </w:r>
            <w:r w:rsidRPr="00390EA4">
              <w:rPr>
                <w:lang w:val="fr-FR"/>
              </w:rPr>
              <w:t xml:space="preserve"> acteurs communautaires seront périodiquement effectuées à </w:t>
            </w:r>
            <w:r w:rsidR="007507A8" w:rsidRPr="00306FB8">
              <w:rPr>
                <w:lang w:val="fr-FR"/>
              </w:rPr>
              <w:t>l’</w:t>
            </w:r>
            <w:r w:rsidRPr="00306FB8">
              <w:rPr>
                <w:lang w:val="fr-FR"/>
              </w:rPr>
              <w:t>attention</w:t>
            </w:r>
            <w:r w:rsidRPr="00390EA4">
              <w:rPr>
                <w:lang w:val="fr-FR"/>
              </w:rPr>
              <w:t xml:space="preserve"> notamment des </w:t>
            </w:r>
            <w:proofErr w:type="spellStart"/>
            <w:r w:rsidR="00F4009D">
              <w:rPr>
                <w:lang w:val="fr-FR"/>
              </w:rPr>
              <w:t>KPs</w:t>
            </w:r>
            <w:proofErr w:type="spellEnd"/>
            <w:r w:rsidRPr="00390EA4">
              <w:rPr>
                <w:lang w:val="fr-FR"/>
              </w:rPr>
              <w:t xml:space="preserve">. Il est également </w:t>
            </w:r>
            <w:r w:rsidRPr="00306FB8">
              <w:rPr>
                <w:lang w:val="fr-FR"/>
              </w:rPr>
              <w:t>pr</w:t>
            </w:r>
            <w:r w:rsidR="002B589C" w:rsidRPr="00306FB8">
              <w:rPr>
                <w:lang w:val="fr-FR"/>
              </w:rPr>
              <w:t>é</w:t>
            </w:r>
            <w:r w:rsidRPr="00306FB8">
              <w:rPr>
                <w:lang w:val="fr-FR"/>
              </w:rPr>
              <w:t>vu</w:t>
            </w:r>
            <w:r w:rsidRPr="00390EA4">
              <w:rPr>
                <w:lang w:val="fr-FR"/>
              </w:rPr>
              <w:t xml:space="preserve"> un accroissement des structures de santé publique qui </w:t>
            </w:r>
            <w:r w:rsidRPr="00306FB8">
              <w:rPr>
                <w:lang w:val="fr-FR"/>
              </w:rPr>
              <w:t>int</w:t>
            </w:r>
            <w:r w:rsidR="007507A8" w:rsidRPr="00306FB8">
              <w:rPr>
                <w:lang w:val="fr-FR"/>
              </w:rPr>
              <w:t>ègre</w:t>
            </w:r>
            <w:r w:rsidR="002B589C" w:rsidRPr="00306FB8">
              <w:rPr>
                <w:lang w:val="fr-FR"/>
              </w:rPr>
              <w:t>ro</w:t>
            </w:r>
            <w:r w:rsidR="007507A8" w:rsidRPr="00306FB8">
              <w:rPr>
                <w:lang w:val="fr-FR"/>
              </w:rPr>
              <w:t>nt</w:t>
            </w:r>
            <w:r w:rsidRPr="00390EA4">
              <w:rPr>
                <w:lang w:val="fr-FR"/>
              </w:rPr>
              <w:t xml:space="preserve"> la prise en charge des populations clés (Centres </w:t>
            </w:r>
            <w:r w:rsidR="00EB27C2">
              <w:rPr>
                <w:lang w:val="fr-FR"/>
              </w:rPr>
              <w:t xml:space="preserve">KP </w:t>
            </w:r>
            <w:proofErr w:type="spellStart"/>
            <w:r w:rsidRPr="00390EA4">
              <w:rPr>
                <w:lang w:val="fr-FR"/>
              </w:rPr>
              <w:t>friendly</w:t>
            </w:r>
            <w:proofErr w:type="spellEnd"/>
            <w:r w:rsidRPr="00390EA4">
              <w:rPr>
                <w:lang w:val="fr-FR"/>
              </w:rPr>
              <w:t xml:space="preserve">). </w:t>
            </w:r>
          </w:p>
          <w:p w14:paraId="1196D325" w14:textId="327E010D" w:rsidR="00F16C1A" w:rsidRPr="00390EA4" w:rsidRDefault="00EB27C2" w:rsidP="005010EE">
            <w:pPr>
              <w:pStyle w:val="Texteformulaire"/>
              <w:rPr>
                <w:lang w:val="fr-FR"/>
              </w:rPr>
            </w:pPr>
            <w:r>
              <w:rPr>
                <w:lang w:val="fr-FR"/>
              </w:rPr>
              <w:t xml:space="preserve">Le </w:t>
            </w:r>
            <w:r w:rsidR="00F16C1A" w:rsidRPr="00390EA4">
              <w:rPr>
                <w:lang w:val="fr-FR"/>
              </w:rPr>
              <w:t>r</w:t>
            </w:r>
            <w:r>
              <w:rPr>
                <w:lang w:val="fr-FR"/>
              </w:rPr>
              <w:t>é</w:t>
            </w:r>
            <w:r w:rsidR="00F16C1A" w:rsidRPr="00390EA4">
              <w:rPr>
                <w:lang w:val="fr-FR"/>
              </w:rPr>
              <w:t>seau de</w:t>
            </w:r>
            <w:r>
              <w:rPr>
                <w:lang w:val="fr-FR"/>
              </w:rPr>
              <w:t>s</w:t>
            </w:r>
            <w:r w:rsidR="00F16C1A" w:rsidRPr="00390EA4">
              <w:rPr>
                <w:lang w:val="fr-FR"/>
              </w:rPr>
              <w:t xml:space="preserve"> sites régionaux de r</w:t>
            </w:r>
            <w:r>
              <w:rPr>
                <w:lang w:val="fr-FR"/>
              </w:rPr>
              <w:t>é</w:t>
            </w:r>
            <w:r w:rsidR="00F16C1A" w:rsidRPr="00390EA4">
              <w:rPr>
                <w:lang w:val="fr-FR"/>
              </w:rPr>
              <w:t>f</w:t>
            </w:r>
            <w:r>
              <w:rPr>
                <w:lang w:val="fr-FR"/>
              </w:rPr>
              <w:t>é</w:t>
            </w:r>
            <w:r w:rsidR="00F16C1A" w:rsidRPr="00390EA4">
              <w:rPr>
                <w:lang w:val="fr-FR"/>
              </w:rPr>
              <w:t xml:space="preserve">rence de la prise en charge des IST </w:t>
            </w:r>
            <w:r>
              <w:rPr>
                <w:lang w:val="fr-FR"/>
              </w:rPr>
              <w:t>sera étend</w:t>
            </w:r>
            <w:r w:rsidR="00F4009D">
              <w:rPr>
                <w:lang w:val="fr-FR"/>
              </w:rPr>
              <w:t>u</w:t>
            </w:r>
            <w:r>
              <w:rPr>
                <w:lang w:val="fr-FR"/>
              </w:rPr>
              <w:t xml:space="preserve"> </w:t>
            </w:r>
            <w:r w:rsidR="00F16C1A" w:rsidRPr="00390EA4">
              <w:rPr>
                <w:lang w:val="fr-FR"/>
              </w:rPr>
              <w:t>à 12 CHR</w:t>
            </w:r>
            <w:r>
              <w:rPr>
                <w:lang w:val="fr-FR"/>
              </w:rPr>
              <w:t xml:space="preserve"> </w:t>
            </w:r>
            <w:r w:rsidR="00F16C1A" w:rsidRPr="00390EA4">
              <w:rPr>
                <w:lang w:val="fr-FR"/>
              </w:rPr>
              <w:t>et l’int</w:t>
            </w:r>
            <w:r>
              <w:rPr>
                <w:lang w:val="fr-FR"/>
              </w:rPr>
              <w:t>é</w:t>
            </w:r>
            <w:r w:rsidR="00F16C1A" w:rsidRPr="00390EA4">
              <w:rPr>
                <w:lang w:val="fr-FR"/>
              </w:rPr>
              <w:t xml:space="preserve">gration de la prise en charge des </w:t>
            </w:r>
            <w:proofErr w:type="spellStart"/>
            <w:r w:rsidR="00F4009D">
              <w:rPr>
                <w:lang w:val="fr-FR"/>
              </w:rPr>
              <w:t>KPs</w:t>
            </w:r>
            <w:proofErr w:type="spellEnd"/>
            <w:r w:rsidR="00F4009D">
              <w:rPr>
                <w:lang w:val="fr-FR"/>
              </w:rPr>
              <w:t xml:space="preserve"> </w:t>
            </w:r>
            <w:r w:rsidR="00F16C1A" w:rsidRPr="00390EA4">
              <w:rPr>
                <w:lang w:val="fr-FR"/>
              </w:rPr>
              <w:t>dans ces derniers augmentera les capacités de diagnostic étiologique et de prise en charge des IST</w:t>
            </w:r>
            <w:r>
              <w:rPr>
                <w:lang w:val="fr-FR"/>
              </w:rPr>
              <w:t>,</w:t>
            </w:r>
            <w:r w:rsidR="00F16C1A" w:rsidRPr="00390EA4">
              <w:rPr>
                <w:lang w:val="fr-FR"/>
              </w:rPr>
              <w:t xml:space="preserve"> parmi lesquels les condylomes</w:t>
            </w:r>
            <w:r w:rsidR="00F4009D">
              <w:rPr>
                <w:lang w:val="fr-FR"/>
              </w:rPr>
              <w:t xml:space="preserve"> et les cancers </w:t>
            </w:r>
            <w:r w:rsidR="00F4009D" w:rsidRPr="003A3250">
              <w:rPr>
                <w:lang w:val="fr-FR"/>
              </w:rPr>
              <w:t xml:space="preserve">du col de l’utérus et </w:t>
            </w:r>
            <w:r w:rsidR="00F4009D">
              <w:rPr>
                <w:lang w:val="fr-FR"/>
              </w:rPr>
              <w:t>anorectal</w:t>
            </w:r>
            <w:r w:rsidR="00F16C1A" w:rsidRPr="00390EA4">
              <w:rPr>
                <w:lang w:val="fr-FR"/>
              </w:rPr>
              <w:t>.</w:t>
            </w:r>
          </w:p>
          <w:p w14:paraId="622EFC8B" w14:textId="3CAB5DD2" w:rsidR="00F16C1A" w:rsidRPr="00390EA4" w:rsidRDefault="00F16C1A" w:rsidP="005010EE">
            <w:pPr>
              <w:pStyle w:val="Texteformulaire"/>
              <w:rPr>
                <w:lang w:val="fr-FR"/>
              </w:rPr>
            </w:pPr>
            <w:r w:rsidRPr="00390EA4">
              <w:rPr>
                <w:lang w:val="fr-FR"/>
              </w:rPr>
              <w:t>L’implication pr</w:t>
            </w:r>
            <w:r w:rsidR="00EB27C2">
              <w:rPr>
                <w:lang w:val="fr-FR"/>
              </w:rPr>
              <w:t>é</w:t>
            </w:r>
            <w:r w:rsidRPr="00390EA4">
              <w:rPr>
                <w:lang w:val="fr-FR"/>
              </w:rPr>
              <w:t xml:space="preserve">vue du secteur privé </w:t>
            </w:r>
            <w:proofErr w:type="spellStart"/>
            <w:r w:rsidRPr="00390EA4">
              <w:rPr>
                <w:lang w:val="fr-FR"/>
              </w:rPr>
              <w:t>medical</w:t>
            </w:r>
            <w:proofErr w:type="spellEnd"/>
            <w:r w:rsidRPr="00390EA4">
              <w:rPr>
                <w:lang w:val="fr-FR"/>
              </w:rPr>
              <w:t xml:space="preserve"> (</w:t>
            </w:r>
            <w:r w:rsidR="00EB27C2">
              <w:rPr>
                <w:lang w:val="fr-FR"/>
              </w:rPr>
              <w:t>i</w:t>
            </w:r>
            <w:r w:rsidRPr="00390EA4">
              <w:rPr>
                <w:lang w:val="fr-FR"/>
              </w:rPr>
              <w:t>nfirmerie et pharmacie), recours</w:t>
            </w:r>
            <w:r w:rsidR="00EB27C2">
              <w:rPr>
                <w:lang w:val="fr-FR"/>
              </w:rPr>
              <w:t xml:space="preserve"> fréquents</w:t>
            </w:r>
            <w:r w:rsidRPr="00390EA4">
              <w:rPr>
                <w:lang w:val="fr-FR"/>
              </w:rPr>
              <w:t xml:space="preserve"> des populations </w:t>
            </w:r>
            <w:r w:rsidRPr="00306FB8">
              <w:rPr>
                <w:lang w:val="fr-FR"/>
              </w:rPr>
              <w:t>vuln</w:t>
            </w:r>
            <w:r w:rsidR="00EB27C2" w:rsidRPr="00306FB8">
              <w:rPr>
                <w:lang w:val="fr-FR"/>
              </w:rPr>
              <w:t>é</w:t>
            </w:r>
            <w:r w:rsidRPr="00306FB8">
              <w:rPr>
                <w:lang w:val="fr-FR"/>
              </w:rPr>
              <w:t>rable</w:t>
            </w:r>
            <w:r w:rsidR="007507A8" w:rsidRPr="00306FB8">
              <w:rPr>
                <w:lang w:val="fr-FR"/>
              </w:rPr>
              <w:t>s</w:t>
            </w:r>
            <w:r w:rsidR="00EB27C2" w:rsidRPr="00306FB8">
              <w:rPr>
                <w:lang w:val="fr-FR"/>
              </w:rPr>
              <w:t>,</w:t>
            </w:r>
            <w:r w:rsidRPr="00390EA4">
              <w:rPr>
                <w:lang w:val="fr-FR"/>
              </w:rPr>
              <w:t xml:space="preserve"> permettra de limiter les risques de survenue de résistances</w:t>
            </w:r>
            <w:r w:rsidR="00A90649">
              <w:rPr>
                <w:lang w:val="fr-FR"/>
              </w:rPr>
              <w:t xml:space="preserve"> au traitement antibiotique des IST</w:t>
            </w:r>
            <w:r w:rsidRPr="00390EA4">
              <w:rPr>
                <w:lang w:val="fr-FR"/>
              </w:rPr>
              <w:t xml:space="preserve">. </w:t>
            </w:r>
          </w:p>
          <w:p w14:paraId="3F9B52FD" w14:textId="678E6D7F" w:rsidR="00F16C1A" w:rsidRDefault="00F16C1A" w:rsidP="005010EE">
            <w:pPr>
              <w:pStyle w:val="Texteformulaire"/>
              <w:rPr>
                <w:lang w:val="fr-FR"/>
              </w:rPr>
            </w:pPr>
            <w:r w:rsidRPr="00390EA4">
              <w:rPr>
                <w:lang w:val="fr-FR"/>
              </w:rPr>
              <w:t>Afin de fid</w:t>
            </w:r>
            <w:r w:rsidR="00EB27C2">
              <w:rPr>
                <w:lang w:val="fr-FR"/>
              </w:rPr>
              <w:t>é</w:t>
            </w:r>
            <w:r w:rsidRPr="00390EA4">
              <w:rPr>
                <w:lang w:val="fr-FR"/>
              </w:rPr>
              <w:t>liser</w:t>
            </w:r>
            <w:r w:rsidR="007507A8" w:rsidRPr="00306FB8">
              <w:rPr>
                <w:lang w:val="fr-FR"/>
              </w:rPr>
              <w:t xml:space="preserve"> </w:t>
            </w:r>
            <w:r w:rsidRPr="00390EA4">
              <w:rPr>
                <w:lang w:val="fr-FR"/>
              </w:rPr>
              <w:t xml:space="preserve">les </w:t>
            </w:r>
            <w:proofErr w:type="spellStart"/>
            <w:r w:rsidR="00EB27C2">
              <w:rPr>
                <w:lang w:val="fr-FR"/>
              </w:rPr>
              <w:t>KPs</w:t>
            </w:r>
            <w:proofErr w:type="spellEnd"/>
            <w:r w:rsidRPr="00390EA4">
              <w:rPr>
                <w:lang w:val="fr-FR"/>
              </w:rPr>
              <w:t xml:space="preserve"> aux programmes conçus dans le cadre de cette proposition à leur attention, des kits IST seront remis à tous ceux chez qui un </w:t>
            </w:r>
            <w:proofErr w:type="spellStart"/>
            <w:r w:rsidR="00EB27C2">
              <w:rPr>
                <w:lang w:val="fr-FR"/>
              </w:rPr>
              <w:t>diagnostique</w:t>
            </w:r>
            <w:proofErr w:type="spellEnd"/>
            <w:r w:rsidR="00EB27C2">
              <w:rPr>
                <w:lang w:val="fr-FR"/>
              </w:rPr>
              <w:t xml:space="preserve"> </w:t>
            </w:r>
            <w:r w:rsidRPr="00390EA4">
              <w:rPr>
                <w:lang w:val="fr-FR"/>
              </w:rPr>
              <w:t>syndrom</w:t>
            </w:r>
            <w:r w:rsidR="00EB27C2">
              <w:rPr>
                <w:lang w:val="fr-FR"/>
              </w:rPr>
              <w:t>ique</w:t>
            </w:r>
            <w:r w:rsidRPr="00390EA4">
              <w:rPr>
                <w:lang w:val="fr-FR"/>
              </w:rPr>
              <w:t xml:space="preserve"> aura été </w:t>
            </w:r>
            <w:r w:rsidR="00EB27C2">
              <w:rPr>
                <w:lang w:val="fr-FR"/>
              </w:rPr>
              <w:t>fait</w:t>
            </w:r>
            <w:r w:rsidRPr="00390EA4">
              <w:rPr>
                <w:lang w:val="fr-FR"/>
              </w:rPr>
              <w:t>.</w:t>
            </w:r>
          </w:p>
          <w:p w14:paraId="28502875" w14:textId="1248D0F0" w:rsidR="00F4009D" w:rsidRPr="00390EA4" w:rsidRDefault="00F4009D">
            <w:pPr>
              <w:pStyle w:val="Texteformulaire"/>
              <w:rPr>
                <w:lang w:val="fr-FR"/>
              </w:rPr>
            </w:pPr>
            <w:r w:rsidRPr="00390EA4">
              <w:rPr>
                <w:lang w:val="fr-FR"/>
              </w:rPr>
              <w:t xml:space="preserve">L’offre de planification familiale sera renforcée auprès des femmes </w:t>
            </w:r>
            <w:proofErr w:type="spellStart"/>
            <w:r w:rsidRPr="00390EA4">
              <w:rPr>
                <w:lang w:val="fr-FR"/>
              </w:rPr>
              <w:t>KPs</w:t>
            </w:r>
            <w:proofErr w:type="spellEnd"/>
            <w:r>
              <w:rPr>
                <w:lang w:val="fr-FR"/>
              </w:rPr>
              <w:t xml:space="preserve"> qui bénéficieront des services de prévention et prise en charge des IST</w:t>
            </w:r>
            <w:r w:rsidRPr="00390EA4">
              <w:rPr>
                <w:lang w:val="fr-FR"/>
              </w:rPr>
              <w:t xml:space="preserve"> (TS, UD, adolescentes et jeunes femmes vulnérables).</w:t>
            </w:r>
            <w:r w:rsidR="00EC0753">
              <w:rPr>
                <w:lang w:val="fr-FR"/>
              </w:rPr>
              <w:t xml:space="preserve"> </w:t>
            </w:r>
          </w:p>
          <w:p w14:paraId="32F51FDD" w14:textId="5E0B83D1" w:rsidR="001D3FBB" w:rsidRPr="00390EA4" w:rsidRDefault="00F16C1A" w:rsidP="00E6201D">
            <w:pPr>
              <w:pStyle w:val="liste1"/>
            </w:pPr>
            <w:r w:rsidRPr="00306FB8">
              <w:t xml:space="preserve">Former </w:t>
            </w:r>
            <w:r w:rsidR="001D3FBB" w:rsidRPr="00306FB8">
              <w:t>75</w:t>
            </w:r>
            <w:r w:rsidRPr="00306FB8">
              <w:t xml:space="preserve"> </w:t>
            </w:r>
            <w:proofErr w:type="spellStart"/>
            <w:r w:rsidRPr="00306FB8">
              <w:t>prestataires</w:t>
            </w:r>
            <w:proofErr w:type="spellEnd"/>
            <w:r w:rsidRPr="00306FB8">
              <w:t xml:space="preserve"> de </w:t>
            </w:r>
            <w:proofErr w:type="spellStart"/>
            <w:r w:rsidRPr="00306FB8">
              <w:t>soins</w:t>
            </w:r>
            <w:proofErr w:type="spellEnd"/>
            <w:r w:rsidRPr="00306FB8">
              <w:t xml:space="preserve"> de santé sur la santé </w:t>
            </w:r>
            <w:proofErr w:type="spellStart"/>
            <w:r w:rsidR="001D3FBB" w:rsidRPr="00306FB8">
              <w:t>sexuelle</w:t>
            </w:r>
            <w:proofErr w:type="spellEnd"/>
            <w:r w:rsidR="001D3FBB" w:rsidRPr="00306FB8">
              <w:t xml:space="preserve"> et reproductive </w:t>
            </w:r>
            <w:proofErr w:type="spellStart"/>
            <w:r w:rsidR="001D3FBB" w:rsidRPr="00306FB8">
              <w:t>intégrant</w:t>
            </w:r>
            <w:proofErr w:type="spellEnd"/>
            <w:r w:rsidR="001D3FBB" w:rsidRPr="00306FB8">
              <w:t xml:space="preserve"> le </w:t>
            </w:r>
            <w:proofErr w:type="spellStart"/>
            <w:r w:rsidR="001D3FBB" w:rsidRPr="00306FB8">
              <w:t>dépistage</w:t>
            </w:r>
            <w:proofErr w:type="spellEnd"/>
            <w:r w:rsidR="001D3FBB" w:rsidRPr="00306FB8">
              <w:t xml:space="preserve"> </w:t>
            </w:r>
            <w:proofErr w:type="spellStart"/>
            <w:r w:rsidR="001D3FBB" w:rsidRPr="00306FB8">
              <w:t>systématique</w:t>
            </w:r>
            <w:proofErr w:type="spellEnd"/>
            <w:r w:rsidR="001D3FBB" w:rsidRPr="00306FB8">
              <w:t xml:space="preserve"> et la PEC des IST, le </w:t>
            </w:r>
            <w:proofErr w:type="spellStart"/>
            <w:r w:rsidR="001D3FBB" w:rsidRPr="00306FB8">
              <w:t>dépistage</w:t>
            </w:r>
            <w:proofErr w:type="spellEnd"/>
            <w:r w:rsidR="001D3FBB" w:rsidRPr="00306FB8">
              <w:t xml:space="preserve"> du cancer du col de </w:t>
            </w:r>
            <w:proofErr w:type="spellStart"/>
            <w:r w:rsidR="001D3FBB" w:rsidRPr="00306FB8">
              <w:t>l'utérus</w:t>
            </w:r>
            <w:proofErr w:type="spellEnd"/>
            <w:r w:rsidR="001D3FBB" w:rsidRPr="00306FB8">
              <w:t xml:space="preserve"> chez les TS </w:t>
            </w:r>
          </w:p>
          <w:p w14:paraId="33D7DB89" w14:textId="34496B6F" w:rsidR="00783D62" w:rsidRDefault="00783D62" w:rsidP="00E6201D">
            <w:pPr>
              <w:pStyle w:val="liste1"/>
            </w:pPr>
            <w:r>
              <w:lastRenderedPageBreak/>
              <w:t xml:space="preserve">Former </w:t>
            </w:r>
            <w:r w:rsidR="007501BD">
              <w:t xml:space="preserve">les </w:t>
            </w:r>
            <w:proofErr w:type="spellStart"/>
            <w:r>
              <w:t>prestaires</w:t>
            </w:r>
            <w:proofErr w:type="spellEnd"/>
            <w:r>
              <w:t xml:space="preserve"> sur </w:t>
            </w:r>
            <w:proofErr w:type="spellStart"/>
            <w:r>
              <w:t>l’offre</w:t>
            </w:r>
            <w:proofErr w:type="spellEnd"/>
            <w:r>
              <w:t xml:space="preserve"> des services </w:t>
            </w:r>
            <w:proofErr w:type="spellStart"/>
            <w:r>
              <w:t>adaptés</w:t>
            </w:r>
            <w:proofErr w:type="spellEnd"/>
            <w:r>
              <w:t xml:space="preserve"> aux </w:t>
            </w:r>
            <w:proofErr w:type="spellStart"/>
            <w:r>
              <w:t>besoins</w:t>
            </w:r>
            <w:proofErr w:type="spellEnd"/>
            <w:r>
              <w:t xml:space="preserve"> </w:t>
            </w:r>
            <w:proofErr w:type="spellStart"/>
            <w:r>
              <w:t>spécifiques</w:t>
            </w:r>
            <w:proofErr w:type="spellEnd"/>
            <w:r>
              <w:t xml:space="preserve"> des adolescents </w:t>
            </w:r>
            <w:r w:rsidR="00E75272">
              <w:t xml:space="preserve">et </w:t>
            </w:r>
            <w:proofErr w:type="spellStart"/>
            <w:r w:rsidR="00E75272">
              <w:t>jeunes</w:t>
            </w:r>
            <w:proofErr w:type="spellEnd"/>
          </w:p>
          <w:p w14:paraId="33BDA1FE" w14:textId="1340B120" w:rsidR="00F16C1A" w:rsidRPr="00390EA4" w:rsidRDefault="00F16C1A" w:rsidP="00E6201D">
            <w:pPr>
              <w:pStyle w:val="liste1"/>
            </w:pPr>
            <w:proofErr w:type="spellStart"/>
            <w:r w:rsidRPr="00306FB8">
              <w:t>Equiper</w:t>
            </w:r>
            <w:proofErr w:type="spellEnd"/>
            <w:r w:rsidRPr="00306FB8">
              <w:t xml:space="preserve"> 05 structures de santé pour la </w:t>
            </w:r>
            <w:proofErr w:type="spellStart"/>
            <w:r w:rsidRPr="00306FB8">
              <w:t>prise</w:t>
            </w:r>
            <w:proofErr w:type="spellEnd"/>
            <w:r w:rsidRPr="00306FB8">
              <w:t xml:space="preserve"> </w:t>
            </w:r>
            <w:proofErr w:type="spellStart"/>
            <w:r w:rsidRPr="00306FB8">
              <w:t>en</w:t>
            </w:r>
            <w:proofErr w:type="spellEnd"/>
            <w:r w:rsidRPr="00306FB8">
              <w:t xml:space="preserve"> charge </w:t>
            </w:r>
            <w:proofErr w:type="spellStart"/>
            <w:r w:rsidRPr="00306FB8">
              <w:t>étiologique</w:t>
            </w:r>
            <w:proofErr w:type="spellEnd"/>
            <w:r w:rsidRPr="00306FB8">
              <w:t xml:space="preserve"> des IST </w:t>
            </w:r>
          </w:p>
          <w:p w14:paraId="0CFC5150" w14:textId="405F916F" w:rsidR="00F16C1A" w:rsidRPr="00390EA4" w:rsidRDefault="00F16C1A" w:rsidP="00E6201D">
            <w:pPr>
              <w:pStyle w:val="liste1"/>
            </w:pPr>
            <w:r w:rsidRPr="00306FB8">
              <w:t xml:space="preserve">Assurer la PEC de </w:t>
            </w:r>
            <w:r w:rsidRPr="001B7DE0">
              <w:t>7</w:t>
            </w:r>
            <w:r w:rsidR="00141702">
              <w:t xml:space="preserve"> </w:t>
            </w:r>
            <w:r w:rsidRPr="001B7DE0">
              <w:t>156</w:t>
            </w:r>
            <w:r w:rsidRPr="00306FB8">
              <w:t xml:space="preserve"> </w:t>
            </w:r>
            <w:proofErr w:type="spellStart"/>
            <w:r w:rsidRPr="00306FB8">
              <w:t>cas</w:t>
            </w:r>
            <w:proofErr w:type="spellEnd"/>
            <w:r w:rsidRPr="00306FB8">
              <w:t xml:space="preserve"> </w:t>
            </w:r>
            <w:proofErr w:type="spellStart"/>
            <w:r w:rsidRPr="00306FB8">
              <w:t>d'IST</w:t>
            </w:r>
            <w:proofErr w:type="spellEnd"/>
            <w:r w:rsidRPr="00306FB8">
              <w:t xml:space="preserve"> chez les TS</w:t>
            </w:r>
            <w:r w:rsidR="00922C1E">
              <w:t xml:space="preserve">, adolescents et </w:t>
            </w:r>
            <w:proofErr w:type="spellStart"/>
            <w:r w:rsidR="00922C1E">
              <w:t>jeunes</w:t>
            </w:r>
            <w:proofErr w:type="spellEnd"/>
            <w:r w:rsidR="00922C1E">
              <w:t xml:space="preserve"> </w:t>
            </w:r>
            <w:r w:rsidRPr="00306FB8">
              <w:t>par an</w:t>
            </w:r>
          </w:p>
          <w:p w14:paraId="5CA4F68E" w14:textId="2D5B38E6" w:rsidR="00D80155" w:rsidRPr="00390EA4" w:rsidRDefault="00F16C1A">
            <w:pPr>
              <w:pStyle w:val="liste1"/>
            </w:pPr>
            <w:proofErr w:type="spellStart"/>
            <w:r w:rsidRPr="00306FB8">
              <w:t>Orienter</w:t>
            </w:r>
            <w:proofErr w:type="spellEnd"/>
            <w:r w:rsidRPr="00306FB8">
              <w:t xml:space="preserve"> les </w:t>
            </w:r>
            <w:proofErr w:type="spellStart"/>
            <w:r w:rsidRPr="00306FB8">
              <w:t>acteurs</w:t>
            </w:r>
            <w:proofErr w:type="spellEnd"/>
            <w:r w:rsidRPr="00306FB8">
              <w:t xml:space="preserve"> </w:t>
            </w:r>
            <w:proofErr w:type="spellStart"/>
            <w:r w:rsidRPr="00306FB8">
              <w:t>cliniques</w:t>
            </w:r>
            <w:proofErr w:type="spellEnd"/>
            <w:r w:rsidRPr="00306FB8">
              <w:t xml:space="preserve"> et de </w:t>
            </w:r>
            <w:proofErr w:type="spellStart"/>
            <w:r w:rsidRPr="00306FB8">
              <w:t>pharmacie</w:t>
            </w:r>
            <w:proofErr w:type="spellEnd"/>
            <w:r w:rsidRPr="00306FB8">
              <w:t xml:space="preserve"> (</w:t>
            </w:r>
            <w:proofErr w:type="spellStart"/>
            <w:r w:rsidRPr="00306FB8">
              <w:t>pharmaciens</w:t>
            </w:r>
            <w:proofErr w:type="spellEnd"/>
            <w:r w:rsidRPr="00306FB8">
              <w:t xml:space="preserve">, </w:t>
            </w:r>
            <w:proofErr w:type="spellStart"/>
            <w:r w:rsidRPr="00306FB8">
              <w:t>prestataires</w:t>
            </w:r>
            <w:proofErr w:type="spellEnd"/>
            <w:r w:rsidRPr="00306FB8">
              <w:t xml:space="preserve"> </w:t>
            </w:r>
            <w:proofErr w:type="spellStart"/>
            <w:r w:rsidRPr="00306FB8">
              <w:t>cliniques</w:t>
            </w:r>
            <w:proofErr w:type="spellEnd"/>
            <w:r w:rsidRPr="00306FB8">
              <w:t xml:space="preserve"> </w:t>
            </w:r>
            <w:proofErr w:type="spellStart"/>
            <w:r w:rsidRPr="00306FB8">
              <w:t>médecins</w:t>
            </w:r>
            <w:proofErr w:type="spellEnd"/>
            <w:r w:rsidRPr="00306FB8">
              <w:t xml:space="preserve">, SF et </w:t>
            </w:r>
            <w:proofErr w:type="spellStart"/>
            <w:r w:rsidRPr="00306FB8">
              <w:t>infirmiers</w:t>
            </w:r>
            <w:proofErr w:type="spellEnd"/>
            <w:r w:rsidRPr="00306FB8">
              <w:t>) sur la PEC des IST</w:t>
            </w:r>
          </w:p>
          <w:p w14:paraId="3D6BFFCF" w14:textId="00E1CF2C" w:rsidR="000E7F91" w:rsidRDefault="00A90649" w:rsidP="000E7F91">
            <w:pPr>
              <w:pStyle w:val="Default"/>
              <w:jc w:val="both"/>
              <w:rPr>
                <w:sz w:val="22"/>
              </w:rPr>
            </w:pPr>
            <w:r>
              <w:rPr>
                <w:sz w:val="22"/>
              </w:rPr>
              <w:t xml:space="preserve">Les interventions </w:t>
            </w:r>
            <w:proofErr w:type="spellStart"/>
            <w:r>
              <w:rPr>
                <w:sz w:val="22"/>
              </w:rPr>
              <w:t>seront</w:t>
            </w:r>
            <w:proofErr w:type="spellEnd"/>
            <w:r>
              <w:rPr>
                <w:sz w:val="22"/>
              </w:rPr>
              <w:t xml:space="preserve"> </w:t>
            </w:r>
            <w:proofErr w:type="spellStart"/>
            <w:r>
              <w:rPr>
                <w:sz w:val="22"/>
              </w:rPr>
              <w:t>développées</w:t>
            </w:r>
            <w:proofErr w:type="spellEnd"/>
            <w:r>
              <w:rPr>
                <w:sz w:val="22"/>
              </w:rPr>
              <w:t xml:space="preserve"> à </w:t>
            </w:r>
            <w:proofErr w:type="spellStart"/>
            <w:r>
              <w:rPr>
                <w:sz w:val="22"/>
              </w:rPr>
              <w:t>l’échelle</w:t>
            </w:r>
            <w:proofErr w:type="spellEnd"/>
            <w:r>
              <w:rPr>
                <w:sz w:val="22"/>
              </w:rPr>
              <w:t xml:space="preserve"> </w:t>
            </w:r>
            <w:proofErr w:type="spellStart"/>
            <w:r>
              <w:rPr>
                <w:sz w:val="22"/>
              </w:rPr>
              <w:t>nationale</w:t>
            </w:r>
            <w:proofErr w:type="spellEnd"/>
            <w:r>
              <w:rPr>
                <w:sz w:val="22"/>
              </w:rPr>
              <w:t xml:space="preserve">, </w:t>
            </w:r>
            <w:r w:rsidR="00CC7E44">
              <w:rPr>
                <w:sz w:val="22"/>
              </w:rPr>
              <w:t xml:space="preserve">Alliance Côte d’Ivoire </w:t>
            </w:r>
            <w:proofErr w:type="spellStart"/>
            <w:r>
              <w:rPr>
                <w:sz w:val="22"/>
              </w:rPr>
              <w:t>couvrant</w:t>
            </w:r>
            <w:proofErr w:type="spellEnd"/>
            <w:r>
              <w:rPr>
                <w:sz w:val="22"/>
              </w:rPr>
              <w:t xml:space="preserve"> 41 DS </w:t>
            </w:r>
            <w:proofErr w:type="spellStart"/>
            <w:r>
              <w:rPr>
                <w:sz w:val="22"/>
              </w:rPr>
              <w:t>prioritaires</w:t>
            </w:r>
            <w:proofErr w:type="spellEnd"/>
            <w:r>
              <w:rPr>
                <w:sz w:val="22"/>
              </w:rPr>
              <w:t xml:space="preserve">. PEPFAR </w:t>
            </w:r>
            <w:proofErr w:type="spellStart"/>
            <w:r>
              <w:rPr>
                <w:sz w:val="22"/>
              </w:rPr>
              <w:t>intervient</w:t>
            </w:r>
            <w:proofErr w:type="spellEnd"/>
            <w:r>
              <w:rPr>
                <w:sz w:val="22"/>
              </w:rPr>
              <w:t xml:space="preserve"> sur </w:t>
            </w:r>
            <w:proofErr w:type="spellStart"/>
            <w:r>
              <w:rPr>
                <w:sz w:val="22"/>
              </w:rPr>
              <w:t>cette</w:t>
            </w:r>
            <w:proofErr w:type="spellEnd"/>
            <w:r>
              <w:rPr>
                <w:sz w:val="22"/>
              </w:rPr>
              <w:t xml:space="preserve"> </w:t>
            </w:r>
            <w:proofErr w:type="spellStart"/>
            <w:r>
              <w:rPr>
                <w:sz w:val="22"/>
              </w:rPr>
              <w:t>thématique</w:t>
            </w:r>
            <w:proofErr w:type="spellEnd"/>
            <w:r>
              <w:rPr>
                <w:sz w:val="22"/>
              </w:rPr>
              <w:t xml:space="preserve"> dans les sites </w:t>
            </w:r>
            <w:proofErr w:type="spellStart"/>
            <w:r>
              <w:rPr>
                <w:sz w:val="22"/>
              </w:rPr>
              <w:t>ciblant</w:t>
            </w:r>
            <w:proofErr w:type="spellEnd"/>
            <w:r>
              <w:rPr>
                <w:sz w:val="22"/>
              </w:rPr>
              <w:t xml:space="preserve"> les KPs.</w:t>
            </w:r>
          </w:p>
          <w:p w14:paraId="013E83C5" w14:textId="0B55A401" w:rsidR="00EC0753" w:rsidRPr="00390EA4" w:rsidRDefault="00EC0753" w:rsidP="00390EA4">
            <w:pPr>
              <w:pStyle w:val="Default"/>
              <w:jc w:val="both"/>
              <w:rPr>
                <w:sz w:val="22"/>
              </w:rPr>
            </w:pPr>
            <w:r w:rsidRPr="00EC0753">
              <w:rPr>
                <w:sz w:val="22"/>
              </w:rPr>
              <w:t xml:space="preserve">Le </w:t>
            </w:r>
            <w:proofErr w:type="spellStart"/>
            <w:r w:rsidRPr="00EC0753">
              <w:rPr>
                <w:sz w:val="22"/>
              </w:rPr>
              <w:t>financement</w:t>
            </w:r>
            <w:proofErr w:type="spellEnd"/>
            <w:r w:rsidRPr="00EC0753">
              <w:rPr>
                <w:sz w:val="22"/>
              </w:rPr>
              <w:t xml:space="preserve"> du FM </w:t>
            </w:r>
            <w:proofErr w:type="spellStart"/>
            <w:r w:rsidRPr="00EC0753">
              <w:rPr>
                <w:sz w:val="22"/>
              </w:rPr>
              <w:t>permettra</w:t>
            </w:r>
            <w:proofErr w:type="spellEnd"/>
            <w:r w:rsidRPr="00EC0753">
              <w:rPr>
                <w:sz w:val="22"/>
              </w:rPr>
              <w:t xml:space="preserve"> de </w:t>
            </w:r>
            <w:proofErr w:type="spellStart"/>
            <w:r w:rsidRPr="00EC0753">
              <w:rPr>
                <w:sz w:val="22"/>
              </w:rPr>
              <w:t>disponibiliser</w:t>
            </w:r>
            <w:proofErr w:type="spellEnd"/>
            <w:r w:rsidRPr="00EC0753">
              <w:rPr>
                <w:sz w:val="22"/>
              </w:rPr>
              <w:t xml:space="preserve"> des kits IST dans </w:t>
            </w:r>
            <w:proofErr w:type="spellStart"/>
            <w:r w:rsidRPr="00EC0753">
              <w:rPr>
                <w:sz w:val="22"/>
              </w:rPr>
              <w:t>l’ensemble</w:t>
            </w:r>
            <w:proofErr w:type="spellEnd"/>
            <w:r w:rsidRPr="00EC0753">
              <w:rPr>
                <w:sz w:val="22"/>
              </w:rPr>
              <w:t xml:space="preserve"> des SSU-SAJ pour la </w:t>
            </w:r>
            <w:proofErr w:type="spellStart"/>
            <w:r w:rsidRPr="00EC0753">
              <w:rPr>
                <w:sz w:val="22"/>
              </w:rPr>
              <w:t>prise</w:t>
            </w:r>
            <w:proofErr w:type="spellEnd"/>
            <w:r w:rsidRPr="00EC0753">
              <w:rPr>
                <w:sz w:val="22"/>
              </w:rPr>
              <w:t xml:space="preserve"> </w:t>
            </w:r>
            <w:proofErr w:type="spellStart"/>
            <w:r w:rsidRPr="00EC0753">
              <w:rPr>
                <w:sz w:val="22"/>
              </w:rPr>
              <w:t>en</w:t>
            </w:r>
            <w:proofErr w:type="spellEnd"/>
            <w:r w:rsidRPr="00EC0753">
              <w:rPr>
                <w:sz w:val="22"/>
              </w:rPr>
              <w:t xml:space="preserve"> charge </w:t>
            </w:r>
            <w:proofErr w:type="spellStart"/>
            <w:r w:rsidRPr="00EC0753">
              <w:rPr>
                <w:sz w:val="22"/>
              </w:rPr>
              <w:t>gratuite</w:t>
            </w:r>
            <w:proofErr w:type="spellEnd"/>
            <w:r w:rsidRPr="00EC0753">
              <w:rPr>
                <w:sz w:val="22"/>
              </w:rPr>
              <w:t xml:space="preserve"> des IST chez les adolescents et </w:t>
            </w:r>
            <w:proofErr w:type="spellStart"/>
            <w:r w:rsidRPr="00EC0753">
              <w:rPr>
                <w:sz w:val="22"/>
              </w:rPr>
              <w:t>jeunes</w:t>
            </w:r>
            <w:proofErr w:type="spellEnd"/>
            <w:r w:rsidRPr="00EC0753">
              <w:rPr>
                <w:sz w:val="22"/>
              </w:rPr>
              <w:t>.</w:t>
            </w:r>
            <w:r>
              <w:rPr>
                <w:sz w:val="22"/>
              </w:rPr>
              <w:t xml:space="preserve"> L’UNFPA </w:t>
            </w:r>
            <w:proofErr w:type="spellStart"/>
            <w:r>
              <w:rPr>
                <w:sz w:val="22"/>
              </w:rPr>
              <w:t>fournira</w:t>
            </w:r>
            <w:proofErr w:type="spellEnd"/>
            <w:r>
              <w:rPr>
                <w:sz w:val="22"/>
              </w:rPr>
              <w:t xml:space="preserve"> les </w:t>
            </w:r>
            <w:proofErr w:type="spellStart"/>
            <w:r>
              <w:rPr>
                <w:sz w:val="22"/>
              </w:rPr>
              <w:t>intrants</w:t>
            </w:r>
            <w:proofErr w:type="spellEnd"/>
            <w:r>
              <w:rPr>
                <w:sz w:val="22"/>
              </w:rPr>
              <w:t xml:space="preserve"> de SSR pour les adolescents et </w:t>
            </w:r>
            <w:proofErr w:type="spellStart"/>
            <w:r>
              <w:rPr>
                <w:sz w:val="22"/>
              </w:rPr>
              <w:t>jeunes</w:t>
            </w:r>
            <w:proofErr w:type="spellEnd"/>
            <w:r w:rsidR="005718AC">
              <w:rPr>
                <w:sz w:val="22"/>
              </w:rPr>
              <w:t xml:space="preserve"> à travers les SSSU et pour les femmes à travers </w:t>
            </w:r>
            <w:proofErr w:type="spellStart"/>
            <w:r w:rsidR="005718AC">
              <w:rPr>
                <w:sz w:val="22"/>
              </w:rPr>
              <w:t>différents</w:t>
            </w:r>
            <w:proofErr w:type="spellEnd"/>
            <w:r w:rsidR="005718AC">
              <w:rPr>
                <w:sz w:val="22"/>
              </w:rPr>
              <w:t xml:space="preserve"> </w:t>
            </w:r>
            <w:proofErr w:type="spellStart"/>
            <w:r w:rsidR="005718AC">
              <w:rPr>
                <w:sz w:val="22"/>
              </w:rPr>
              <w:t>programmes</w:t>
            </w:r>
            <w:proofErr w:type="spellEnd"/>
            <w:r w:rsidR="005718AC">
              <w:rPr>
                <w:sz w:val="22"/>
              </w:rPr>
              <w:t xml:space="preserve"> et </w:t>
            </w:r>
            <w:proofErr w:type="spellStart"/>
            <w:r w:rsidR="005718AC">
              <w:rPr>
                <w:sz w:val="22"/>
              </w:rPr>
              <w:t>projets</w:t>
            </w:r>
            <w:proofErr w:type="spellEnd"/>
            <w:r w:rsidR="005718AC">
              <w:rPr>
                <w:sz w:val="22"/>
              </w:rPr>
              <w:t xml:space="preserve"> (</w:t>
            </w:r>
            <w:proofErr w:type="spellStart"/>
            <w:r w:rsidR="005718AC">
              <w:rPr>
                <w:sz w:val="22"/>
              </w:rPr>
              <w:t>programme</w:t>
            </w:r>
            <w:proofErr w:type="spellEnd"/>
            <w:r w:rsidR="005718AC">
              <w:rPr>
                <w:sz w:val="22"/>
              </w:rPr>
              <w:t xml:space="preserve"> santé </w:t>
            </w:r>
            <w:proofErr w:type="spellStart"/>
            <w:r w:rsidR="005718AC">
              <w:rPr>
                <w:sz w:val="22"/>
              </w:rPr>
              <w:t>mère</w:t>
            </w:r>
            <w:proofErr w:type="spellEnd"/>
            <w:r w:rsidR="00922C1E">
              <w:rPr>
                <w:sz w:val="22"/>
              </w:rPr>
              <w:t>-</w:t>
            </w:r>
            <w:r w:rsidR="005718AC">
              <w:rPr>
                <w:sz w:val="22"/>
              </w:rPr>
              <w:t>enfant)</w:t>
            </w:r>
            <w:r w:rsidR="00922C1E">
              <w:rPr>
                <w:sz w:val="22"/>
              </w:rPr>
              <w:t>.</w:t>
            </w:r>
          </w:p>
          <w:p w14:paraId="05BA8D77" w14:textId="77777777" w:rsidR="00F16C1A" w:rsidRPr="00390EA4" w:rsidRDefault="00F16C1A" w:rsidP="00F16C1A">
            <w:pPr>
              <w:pStyle w:val="Default"/>
              <w:rPr>
                <w:sz w:val="22"/>
              </w:rPr>
            </w:pPr>
          </w:p>
          <w:p w14:paraId="60D1BC29" w14:textId="11CCDD8F" w:rsidR="00F16C1A" w:rsidRPr="001B7DE0" w:rsidRDefault="00F16C1A" w:rsidP="001B7DE0">
            <w:pPr>
              <w:pStyle w:val="Default"/>
              <w:numPr>
                <w:ilvl w:val="0"/>
                <w:numId w:val="30"/>
              </w:numPr>
              <w:rPr>
                <w:b/>
                <w:sz w:val="22"/>
              </w:rPr>
            </w:pPr>
            <w:r w:rsidRPr="00306FB8">
              <w:rPr>
                <w:b/>
                <w:sz w:val="22"/>
              </w:rPr>
              <w:t xml:space="preserve">Interventions de </w:t>
            </w:r>
            <w:proofErr w:type="spellStart"/>
            <w:r w:rsidRPr="00306FB8">
              <w:rPr>
                <w:b/>
                <w:sz w:val="22"/>
              </w:rPr>
              <w:t>r</w:t>
            </w:r>
            <w:r w:rsidR="004D0D5B" w:rsidRPr="00306FB8">
              <w:rPr>
                <w:b/>
                <w:sz w:val="22"/>
              </w:rPr>
              <w:t>é</w:t>
            </w:r>
            <w:r w:rsidRPr="00306FB8">
              <w:rPr>
                <w:b/>
                <w:sz w:val="22"/>
              </w:rPr>
              <w:t>ductions</w:t>
            </w:r>
            <w:proofErr w:type="spellEnd"/>
            <w:r w:rsidRPr="00306FB8">
              <w:rPr>
                <w:b/>
                <w:sz w:val="22"/>
              </w:rPr>
              <w:t xml:space="preserve"> des </w:t>
            </w:r>
            <w:proofErr w:type="spellStart"/>
            <w:r w:rsidRPr="00306FB8">
              <w:rPr>
                <w:b/>
                <w:sz w:val="22"/>
              </w:rPr>
              <w:t>risques</w:t>
            </w:r>
            <w:proofErr w:type="spellEnd"/>
            <w:r w:rsidRPr="00306FB8">
              <w:rPr>
                <w:b/>
                <w:sz w:val="22"/>
              </w:rPr>
              <w:t xml:space="preserve"> </w:t>
            </w:r>
            <w:proofErr w:type="spellStart"/>
            <w:r w:rsidRPr="00306FB8">
              <w:rPr>
                <w:b/>
                <w:sz w:val="22"/>
              </w:rPr>
              <w:t>liées</w:t>
            </w:r>
            <w:proofErr w:type="spellEnd"/>
            <w:r w:rsidRPr="00306FB8">
              <w:rPr>
                <w:b/>
                <w:sz w:val="22"/>
              </w:rPr>
              <w:t xml:space="preserve"> à la </w:t>
            </w:r>
            <w:proofErr w:type="spellStart"/>
            <w:r w:rsidRPr="00306FB8">
              <w:rPr>
                <w:b/>
                <w:sz w:val="22"/>
              </w:rPr>
              <w:t>cons</w:t>
            </w:r>
            <w:r w:rsidR="00A67F18" w:rsidRPr="00306FB8">
              <w:rPr>
                <w:b/>
                <w:sz w:val="22"/>
              </w:rPr>
              <w:t>o</w:t>
            </w:r>
            <w:r w:rsidRPr="00306FB8">
              <w:rPr>
                <w:b/>
                <w:sz w:val="22"/>
              </w:rPr>
              <w:t>mmation</w:t>
            </w:r>
            <w:proofErr w:type="spellEnd"/>
            <w:r w:rsidRPr="00306FB8">
              <w:rPr>
                <w:b/>
                <w:sz w:val="22"/>
              </w:rPr>
              <w:t xml:space="preserve"> des drogues </w:t>
            </w:r>
          </w:p>
          <w:p w14:paraId="29D30026" w14:textId="417BF4DE" w:rsidR="00A90649" w:rsidRDefault="00F16C1A" w:rsidP="005010EE">
            <w:pPr>
              <w:pStyle w:val="Texteformulaire"/>
              <w:rPr>
                <w:lang w:val="fr-FR"/>
              </w:rPr>
            </w:pPr>
            <w:r w:rsidRPr="00390EA4">
              <w:rPr>
                <w:lang w:val="fr-FR"/>
              </w:rPr>
              <w:t xml:space="preserve">Le renforcement de la </w:t>
            </w:r>
            <w:proofErr w:type="spellStart"/>
            <w:r w:rsidRPr="00390EA4">
              <w:rPr>
                <w:lang w:val="fr-FR"/>
              </w:rPr>
              <w:t>RdR</w:t>
            </w:r>
            <w:proofErr w:type="spellEnd"/>
            <w:r w:rsidRPr="00390EA4">
              <w:rPr>
                <w:lang w:val="fr-FR"/>
              </w:rPr>
              <w:t xml:space="preserve"> pour les UD/UDI sera une intervention clé pour </w:t>
            </w:r>
            <w:r w:rsidR="00A90649">
              <w:rPr>
                <w:lang w:val="fr-FR"/>
              </w:rPr>
              <w:t>combler</w:t>
            </w:r>
            <w:r w:rsidR="00A90649" w:rsidRPr="00390EA4">
              <w:rPr>
                <w:lang w:val="fr-FR"/>
              </w:rPr>
              <w:t xml:space="preserve"> </w:t>
            </w:r>
            <w:r w:rsidRPr="00390EA4">
              <w:rPr>
                <w:lang w:val="fr-FR"/>
              </w:rPr>
              <w:t>les insuffisances du paquet de service de pr</w:t>
            </w:r>
            <w:r w:rsidR="00A90649">
              <w:rPr>
                <w:lang w:val="fr-FR"/>
              </w:rPr>
              <w:t>é</w:t>
            </w:r>
            <w:r w:rsidRPr="00390EA4">
              <w:rPr>
                <w:lang w:val="fr-FR"/>
              </w:rPr>
              <w:t>vention</w:t>
            </w:r>
            <w:r w:rsidR="00A90649">
              <w:rPr>
                <w:lang w:val="fr-FR"/>
              </w:rPr>
              <w:t xml:space="preserve"> dans cette population spécifique</w:t>
            </w:r>
            <w:r w:rsidRPr="00390EA4">
              <w:rPr>
                <w:lang w:val="fr-FR"/>
              </w:rPr>
              <w:t xml:space="preserve">. </w:t>
            </w:r>
          </w:p>
          <w:p w14:paraId="6538A913" w14:textId="1E79EBFE" w:rsidR="00F16C1A" w:rsidRDefault="00F16C1A" w:rsidP="005010EE">
            <w:pPr>
              <w:pStyle w:val="Texteformulaire"/>
            </w:pPr>
            <w:r w:rsidRPr="00CE5EA9">
              <w:t xml:space="preserve">Il </w:t>
            </w:r>
            <w:proofErr w:type="spellStart"/>
            <w:r w:rsidRPr="00CE5EA9">
              <w:t>s’agira</w:t>
            </w:r>
            <w:proofErr w:type="spellEnd"/>
            <w:r w:rsidRPr="00CE5EA9">
              <w:t xml:space="preserve"> </w:t>
            </w:r>
            <w:proofErr w:type="spellStart"/>
            <w:r w:rsidR="00A90649">
              <w:t>notamment</w:t>
            </w:r>
            <w:proofErr w:type="spellEnd"/>
            <w:r>
              <w:t xml:space="preserve"> </w:t>
            </w:r>
            <w:proofErr w:type="gramStart"/>
            <w:r>
              <w:t>de</w:t>
            </w:r>
            <w:r w:rsidR="00922C1E">
              <w:t xml:space="preserve"> </w:t>
            </w:r>
            <w:r w:rsidRPr="00CE5EA9">
              <w:t>:</w:t>
            </w:r>
            <w:proofErr w:type="gramEnd"/>
          </w:p>
          <w:p w14:paraId="2F25052A" w14:textId="6F817B79" w:rsidR="00F16C1A" w:rsidRPr="00390EA4" w:rsidRDefault="00F16C1A" w:rsidP="00E6201D">
            <w:pPr>
              <w:pStyle w:val="liste1"/>
            </w:pPr>
            <w:proofErr w:type="spellStart"/>
            <w:r w:rsidRPr="00306FB8">
              <w:t>Mettre</w:t>
            </w:r>
            <w:proofErr w:type="spellEnd"/>
            <w:r w:rsidRPr="00306FB8">
              <w:t xml:space="preserve"> </w:t>
            </w:r>
            <w:proofErr w:type="spellStart"/>
            <w:r w:rsidRPr="00306FB8">
              <w:t>en</w:t>
            </w:r>
            <w:proofErr w:type="spellEnd"/>
            <w:r w:rsidRPr="00306FB8">
              <w:t xml:space="preserve"> oeuvre la TSO dans les 3 structures de </w:t>
            </w:r>
            <w:proofErr w:type="spellStart"/>
            <w:r w:rsidRPr="00306FB8">
              <w:t>référence</w:t>
            </w:r>
            <w:proofErr w:type="spellEnd"/>
            <w:r w:rsidRPr="00306FB8">
              <w:t xml:space="preserve"> de PEC des UD/UDI</w:t>
            </w:r>
            <w:r w:rsidR="00922C1E" w:rsidRPr="00306FB8">
              <w:t xml:space="preserve"> </w:t>
            </w:r>
            <w:r w:rsidR="00922C1E">
              <w:t xml:space="preserve">(les </w:t>
            </w:r>
            <w:proofErr w:type="spellStart"/>
            <w:r w:rsidR="00922C1E">
              <w:t>échanges</w:t>
            </w:r>
            <w:proofErr w:type="spellEnd"/>
            <w:r w:rsidR="00922C1E">
              <w:t xml:space="preserve"> de </w:t>
            </w:r>
            <w:proofErr w:type="spellStart"/>
            <w:r w:rsidR="00922C1E">
              <w:t>seringues</w:t>
            </w:r>
            <w:proofErr w:type="spellEnd"/>
            <w:r w:rsidR="00922C1E">
              <w:t xml:space="preserve"> </w:t>
            </w:r>
            <w:proofErr w:type="spellStart"/>
            <w:r w:rsidR="00922C1E">
              <w:t>étant</w:t>
            </w:r>
            <w:proofErr w:type="spellEnd"/>
            <w:r w:rsidR="00922C1E">
              <w:t xml:space="preserve"> </w:t>
            </w:r>
            <w:proofErr w:type="spellStart"/>
            <w:r w:rsidR="00922C1E">
              <w:t>assurés</w:t>
            </w:r>
            <w:proofErr w:type="spellEnd"/>
            <w:r w:rsidR="00922C1E">
              <w:t xml:space="preserve"> par un </w:t>
            </w:r>
            <w:proofErr w:type="spellStart"/>
            <w:r w:rsidR="00922C1E">
              <w:t>autre</w:t>
            </w:r>
            <w:proofErr w:type="spellEnd"/>
            <w:r w:rsidR="00922C1E">
              <w:t xml:space="preserve"> </w:t>
            </w:r>
            <w:proofErr w:type="spellStart"/>
            <w:r w:rsidR="00922C1E">
              <w:t>partenaire</w:t>
            </w:r>
            <w:proofErr w:type="spellEnd"/>
            <w:r w:rsidR="00922C1E">
              <w:t xml:space="preserve"> – </w:t>
            </w:r>
            <w:proofErr w:type="spellStart"/>
            <w:r w:rsidR="00922C1E">
              <w:t>MdM</w:t>
            </w:r>
            <w:proofErr w:type="spellEnd"/>
            <w:r w:rsidR="00922C1E">
              <w:t>)</w:t>
            </w:r>
            <w:r w:rsidRPr="001B7DE0">
              <w:t xml:space="preserve"> </w:t>
            </w:r>
          </w:p>
          <w:p w14:paraId="3A43DE7F" w14:textId="77777777" w:rsidR="00F16C1A" w:rsidRPr="00390EA4" w:rsidRDefault="00F16C1A" w:rsidP="00E6201D">
            <w:pPr>
              <w:pStyle w:val="liste1"/>
            </w:pPr>
            <w:proofErr w:type="spellStart"/>
            <w:r w:rsidRPr="00306FB8">
              <w:t>Mettre</w:t>
            </w:r>
            <w:proofErr w:type="spellEnd"/>
            <w:r w:rsidRPr="00306FB8">
              <w:t xml:space="preserve"> à </w:t>
            </w:r>
            <w:proofErr w:type="spellStart"/>
            <w:r w:rsidRPr="00306FB8">
              <w:t>niveau</w:t>
            </w:r>
            <w:proofErr w:type="spellEnd"/>
            <w:r w:rsidRPr="00306FB8">
              <w:t xml:space="preserve"> les </w:t>
            </w:r>
            <w:proofErr w:type="spellStart"/>
            <w:r w:rsidRPr="00306FB8">
              <w:t>acteurs</w:t>
            </w:r>
            <w:proofErr w:type="spellEnd"/>
            <w:r w:rsidRPr="00306FB8">
              <w:t xml:space="preserve"> </w:t>
            </w:r>
            <w:proofErr w:type="spellStart"/>
            <w:r w:rsidRPr="00306FB8">
              <w:t>communautaires</w:t>
            </w:r>
            <w:proofErr w:type="spellEnd"/>
            <w:r w:rsidRPr="00306FB8">
              <w:t xml:space="preserve"> sur la </w:t>
            </w:r>
            <w:proofErr w:type="spellStart"/>
            <w:r w:rsidRPr="00306FB8">
              <w:t>RdR</w:t>
            </w:r>
            <w:proofErr w:type="spellEnd"/>
            <w:r w:rsidRPr="00306FB8">
              <w:t xml:space="preserve"> y </w:t>
            </w:r>
            <w:proofErr w:type="spellStart"/>
            <w:r w:rsidRPr="00306FB8">
              <w:t>compris</w:t>
            </w:r>
            <w:proofErr w:type="spellEnd"/>
            <w:r w:rsidRPr="00306FB8">
              <w:t xml:space="preserve"> la TSO </w:t>
            </w:r>
          </w:p>
          <w:p w14:paraId="5D2DE060" w14:textId="61205107" w:rsidR="00EC0753" w:rsidRDefault="00F16C1A" w:rsidP="00E6201D">
            <w:pPr>
              <w:pStyle w:val="liste1"/>
            </w:pPr>
            <w:proofErr w:type="spellStart"/>
            <w:r w:rsidRPr="00306FB8">
              <w:t>Renforcer</w:t>
            </w:r>
            <w:proofErr w:type="spellEnd"/>
            <w:r w:rsidRPr="00306FB8">
              <w:t xml:space="preserve"> le </w:t>
            </w:r>
            <w:proofErr w:type="spellStart"/>
            <w:r w:rsidRPr="00306FB8">
              <w:t>suivi</w:t>
            </w:r>
            <w:proofErr w:type="spellEnd"/>
            <w:r w:rsidRPr="00306FB8">
              <w:t xml:space="preserve"> et </w:t>
            </w:r>
            <w:proofErr w:type="spellStart"/>
            <w:r w:rsidRPr="00306FB8">
              <w:t>l’appui</w:t>
            </w:r>
            <w:proofErr w:type="spellEnd"/>
            <w:r w:rsidRPr="00306FB8">
              <w:t xml:space="preserve"> </w:t>
            </w:r>
            <w:proofErr w:type="spellStart"/>
            <w:r w:rsidR="00A90649">
              <w:t>c</w:t>
            </w:r>
            <w:r w:rsidRPr="00306FB8">
              <w:t>ommunautaire</w:t>
            </w:r>
            <w:proofErr w:type="spellEnd"/>
            <w:r w:rsidRPr="00306FB8">
              <w:t xml:space="preserve"> pour </w:t>
            </w:r>
            <w:proofErr w:type="spellStart"/>
            <w:r w:rsidRPr="00306FB8">
              <w:t>une</w:t>
            </w:r>
            <w:proofErr w:type="spellEnd"/>
            <w:r w:rsidRPr="00306FB8">
              <w:t xml:space="preserve"> bonne observance des UD au </w:t>
            </w:r>
            <w:proofErr w:type="spellStart"/>
            <w:r w:rsidRPr="00306FB8">
              <w:t>traitement</w:t>
            </w:r>
            <w:proofErr w:type="spellEnd"/>
            <w:r w:rsidRPr="00306FB8">
              <w:t xml:space="preserve"> VIH/TB et </w:t>
            </w:r>
            <w:r w:rsidR="00EC0753">
              <w:t xml:space="preserve">au </w:t>
            </w:r>
            <w:r w:rsidRPr="00306FB8">
              <w:t>TSO</w:t>
            </w:r>
          </w:p>
          <w:p w14:paraId="58BB777E" w14:textId="258DD0B8" w:rsidR="00F16C1A" w:rsidRDefault="00EC0753" w:rsidP="00E6201D">
            <w:pPr>
              <w:pStyle w:val="liste1"/>
            </w:pPr>
            <w:proofErr w:type="spellStart"/>
            <w:r>
              <w:t>Développer</w:t>
            </w:r>
            <w:proofErr w:type="spellEnd"/>
            <w:r>
              <w:t xml:space="preserve"> un nouveau site </w:t>
            </w:r>
            <w:proofErr w:type="spellStart"/>
            <w:r>
              <w:t>spécifique</w:t>
            </w:r>
            <w:proofErr w:type="spellEnd"/>
            <w:r>
              <w:t xml:space="preserve"> de</w:t>
            </w:r>
            <w:r w:rsidR="00F16C1A" w:rsidRPr="00306FB8">
              <w:t xml:space="preserve"> </w:t>
            </w:r>
            <w:proofErr w:type="spellStart"/>
            <w:r>
              <w:t>prise</w:t>
            </w:r>
            <w:proofErr w:type="spellEnd"/>
            <w:r>
              <w:t xml:space="preserve"> </w:t>
            </w:r>
            <w:proofErr w:type="spellStart"/>
            <w:r>
              <w:t>en</w:t>
            </w:r>
            <w:proofErr w:type="spellEnd"/>
            <w:r>
              <w:t xml:space="preserve"> charge des UD à </w:t>
            </w:r>
            <w:proofErr w:type="spellStart"/>
            <w:r>
              <w:t>Yopougon</w:t>
            </w:r>
            <w:proofErr w:type="spellEnd"/>
            <w:r>
              <w:t xml:space="preserve">, </w:t>
            </w:r>
            <w:proofErr w:type="spellStart"/>
            <w:r>
              <w:t>intégrant</w:t>
            </w:r>
            <w:proofErr w:type="spellEnd"/>
            <w:r>
              <w:t xml:space="preserve"> les interventions de </w:t>
            </w:r>
            <w:proofErr w:type="spellStart"/>
            <w:r>
              <w:t>prévention</w:t>
            </w:r>
            <w:proofErr w:type="spellEnd"/>
            <w:r>
              <w:t xml:space="preserve"> TB et VIH et </w:t>
            </w:r>
            <w:proofErr w:type="spellStart"/>
            <w:r>
              <w:t>offrant</w:t>
            </w:r>
            <w:proofErr w:type="spellEnd"/>
            <w:r>
              <w:t xml:space="preserve"> les services</w:t>
            </w:r>
            <w:r w:rsidR="00922C1E">
              <w:t xml:space="preserve"> de RDR</w:t>
            </w:r>
            <w:r>
              <w:t xml:space="preserve"> </w:t>
            </w:r>
          </w:p>
          <w:p w14:paraId="73493591" w14:textId="5A33AF9A" w:rsidR="00CC7E44" w:rsidRPr="00390EA4" w:rsidRDefault="00CC7E44" w:rsidP="00E6201D">
            <w:pPr>
              <w:pStyle w:val="liste1"/>
              <w:rPr>
                <w:rFonts w:cstheme="minorBidi"/>
                <w:szCs w:val="20"/>
              </w:rPr>
            </w:pPr>
            <w:proofErr w:type="spellStart"/>
            <w:r>
              <w:t>Développement</w:t>
            </w:r>
            <w:proofErr w:type="spellEnd"/>
            <w:r>
              <w:t xml:space="preserve"> </w:t>
            </w:r>
            <w:proofErr w:type="spellStart"/>
            <w:r>
              <w:t>d’une</w:t>
            </w:r>
            <w:proofErr w:type="spellEnd"/>
            <w:r>
              <w:t xml:space="preserve"> politique </w:t>
            </w:r>
            <w:proofErr w:type="spellStart"/>
            <w:r>
              <w:t>nationale</w:t>
            </w:r>
            <w:proofErr w:type="spellEnd"/>
            <w:r>
              <w:t xml:space="preserve"> de </w:t>
            </w:r>
            <w:proofErr w:type="spellStart"/>
            <w:r>
              <w:t>lutte</w:t>
            </w:r>
            <w:proofErr w:type="spellEnd"/>
            <w:r>
              <w:t xml:space="preserve"> </w:t>
            </w:r>
            <w:proofErr w:type="spellStart"/>
            <w:r>
              <w:t>contre</w:t>
            </w:r>
            <w:proofErr w:type="spellEnd"/>
            <w:r>
              <w:t xml:space="preserve"> les addictions / RDR</w:t>
            </w:r>
          </w:p>
          <w:p w14:paraId="10667E46" w14:textId="556ACB3D" w:rsidR="00A90649" w:rsidRPr="00390EA4" w:rsidRDefault="00EC0753" w:rsidP="00306FB8">
            <w:pPr>
              <w:pStyle w:val="Default"/>
              <w:jc w:val="both"/>
              <w:rPr>
                <w:sz w:val="22"/>
              </w:rPr>
            </w:pPr>
            <w:proofErr w:type="spellStart"/>
            <w:r>
              <w:rPr>
                <w:sz w:val="22"/>
              </w:rPr>
              <w:t>Grâce</w:t>
            </w:r>
            <w:proofErr w:type="spellEnd"/>
            <w:r>
              <w:rPr>
                <w:sz w:val="22"/>
              </w:rPr>
              <w:t xml:space="preserve"> à </w:t>
            </w:r>
            <w:proofErr w:type="spellStart"/>
            <w:r>
              <w:rPr>
                <w:sz w:val="22"/>
              </w:rPr>
              <w:t>l’appui</w:t>
            </w:r>
            <w:proofErr w:type="spellEnd"/>
            <w:r>
              <w:rPr>
                <w:sz w:val="22"/>
              </w:rPr>
              <w:t xml:space="preserve"> du FM, Alliance</w:t>
            </w:r>
            <w:r w:rsidR="00CC7E44">
              <w:rPr>
                <w:sz w:val="22"/>
              </w:rPr>
              <w:t xml:space="preserve"> Côte d’Ivoire</w:t>
            </w:r>
            <w:r>
              <w:rPr>
                <w:sz w:val="22"/>
              </w:rPr>
              <w:t xml:space="preserve"> </w:t>
            </w:r>
            <w:proofErr w:type="spellStart"/>
            <w:r>
              <w:rPr>
                <w:sz w:val="22"/>
              </w:rPr>
              <w:t>renforcera</w:t>
            </w:r>
            <w:proofErr w:type="spellEnd"/>
            <w:r>
              <w:rPr>
                <w:sz w:val="22"/>
              </w:rPr>
              <w:t xml:space="preserve"> </w:t>
            </w:r>
            <w:proofErr w:type="spellStart"/>
            <w:r>
              <w:rPr>
                <w:sz w:val="22"/>
              </w:rPr>
              <w:t>prioritairement</w:t>
            </w:r>
            <w:proofErr w:type="spellEnd"/>
            <w:r>
              <w:rPr>
                <w:sz w:val="22"/>
              </w:rPr>
              <w:t xml:space="preserve"> </w:t>
            </w:r>
            <w:proofErr w:type="spellStart"/>
            <w:r>
              <w:rPr>
                <w:sz w:val="22"/>
              </w:rPr>
              <w:t>ses</w:t>
            </w:r>
            <w:proofErr w:type="spellEnd"/>
            <w:r>
              <w:rPr>
                <w:sz w:val="22"/>
              </w:rPr>
              <w:t xml:space="preserve"> interventions sur </w:t>
            </w:r>
            <w:proofErr w:type="spellStart"/>
            <w:r>
              <w:rPr>
                <w:sz w:val="22"/>
              </w:rPr>
              <w:t>ce</w:t>
            </w:r>
            <w:proofErr w:type="spellEnd"/>
            <w:r>
              <w:rPr>
                <w:sz w:val="22"/>
              </w:rPr>
              <w:t xml:space="preserve"> </w:t>
            </w:r>
            <w:proofErr w:type="spellStart"/>
            <w:r>
              <w:rPr>
                <w:sz w:val="22"/>
              </w:rPr>
              <w:t>thème</w:t>
            </w:r>
            <w:proofErr w:type="spellEnd"/>
            <w:r>
              <w:rPr>
                <w:sz w:val="22"/>
              </w:rPr>
              <w:t xml:space="preserve"> </w:t>
            </w:r>
            <w:proofErr w:type="spellStart"/>
            <w:r>
              <w:rPr>
                <w:sz w:val="22"/>
              </w:rPr>
              <w:t>vers</w:t>
            </w:r>
            <w:proofErr w:type="spellEnd"/>
            <w:r>
              <w:rPr>
                <w:sz w:val="22"/>
              </w:rPr>
              <w:t xml:space="preserve"> le grand Abidjan (</w:t>
            </w:r>
            <w:r w:rsidR="00F57299">
              <w:rPr>
                <w:sz w:val="22"/>
              </w:rPr>
              <w:t xml:space="preserve">Abidjan, </w:t>
            </w:r>
            <w:proofErr w:type="spellStart"/>
            <w:r>
              <w:rPr>
                <w:sz w:val="22"/>
              </w:rPr>
              <w:t>Dabou</w:t>
            </w:r>
            <w:proofErr w:type="spellEnd"/>
            <w:r>
              <w:rPr>
                <w:sz w:val="22"/>
              </w:rPr>
              <w:t xml:space="preserve">, Grand Bassam, </w:t>
            </w:r>
            <w:proofErr w:type="spellStart"/>
            <w:r>
              <w:rPr>
                <w:sz w:val="22"/>
              </w:rPr>
              <w:t>Anyama</w:t>
            </w:r>
            <w:proofErr w:type="spellEnd"/>
            <w:r w:rsidR="00F57299">
              <w:rPr>
                <w:sz w:val="22"/>
              </w:rPr>
              <w:t xml:space="preserve"> et </w:t>
            </w:r>
            <w:proofErr w:type="spellStart"/>
            <w:r w:rsidR="00F57299">
              <w:rPr>
                <w:sz w:val="22"/>
              </w:rPr>
              <w:t>Jacqueville</w:t>
            </w:r>
            <w:proofErr w:type="spellEnd"/>
            <w:r>
              <w:rPr>
                <w:sz w:val="22"/>
              </w:rPr>
              <w:t xml:space="preserve">), pour </w:t>
            </w:r>
            <w:proofErr w:type="spellStart"/>
            <w:r>
              <w:rPr>
                <w:sz w:val="22"/>
              </w:rPr>
              <w:t>couvrir</w:t>
            </w:r>
            <w:proofErr w:type="spellEnd"/>
            <w:r>
              <w:rPr>
                <w:sz w:val="22"/>
              </w:rPr>
              <w:t xml:space="preserve"> </w:t>
            </w:r>
            <w:proofErr w:type="spellStart"/>
            <w:r>
              <w:rPr>
                <w:sz w:val="22"/>
              </w:rPr>
              <w:t>l’essentiel</w:t>
            </w:r>
            <w:proofErr w:type="spellEnd"/>
            <w:r>
              <w:rPr>
                <w:sz w:val="22"/>
              </w:rPr>
              <w:t xml:space="preserve"> des gaps </w:t>
            </w:r>
            <w:proofErr w:type="spellStart"/>
            <w:r>
              <w:rPr>
                <w:sz w:val="22"/>
              </w:rPr>
              <w:t>concentré</w:t>
            </w:r>
            <w:proofErr w:type="spellEnd"/>
            <w:r>
              <w:rPr>
                <w:sz w:val="22"/>
              </w:rPr>
              <w:t xml:space="preserve"> dans </w:t>
            </w:r>
            <w:proofErr w:type="spellStart"/>
            <w:r>
              <w:rPr>
                <w:sz w:val="22"/>
              </w:rPr>
              <w:t>cette</w:t>
            </w:r>
            <w:proofErr w:type="spellEnd"/>
            <w:r>
              <w:rPr>
                <w:sz w:val="22"/>
              </w:rPr>
              <w:t xml:space="preserve"> zone </w:t>
            </w:r>
            <w:proofErr w:type="spellStart"/>
            <w:r>
              <w:rPr>
                <w:sz w:val="22"/>
              </w:rPr>
              <w:t>géographique</w:t>
            </w:r>
            <w:proofErr w:type="spellEnd"/>
            <w:r w:rsidR="00C679BF">
              <w:rPr>
                <w:sz w:val="22"/>
              </w:rPr>
              <w:t xml:space="preserve"> (</w:t>
            </w:r>
            <w:proofErr w:type="spellStart"/>
            <w:r w:rsidR="00C679BF">
              <w:rPr>
                <w:sz w:val="22"/>
              </w:rPr>
              <w:t>besoin</w:t>
            </w:r>
            <w:proofErr w:type="spellEnd"/>
            <w:r w:rsidR="00C679BF">
              <w:rPr>
                <w:sz w:val="22"/>
              </w:rPr>
              <w:t xml:space="preserve"> de </w:t>
            </w:r>
            <w:proofErr w:type="spellStart"/>
            <w:r w:rsidR="00C679BF">
              <w:rPr>
                <w:sz w:val="22"/>
              </w:rPr>
              <w:t>saturer</w:t>
            </w:r>
            <w:proofErr w:type="spellEnd"/>
            <w:r w:rsidR="00C679BF">
              <w:rPr>
                <w:sz w:val="22"/>
              </w:rPr>
              <w:t xml:space="preserve"> les DS </w:t>
            </w:r>
            <w:proofErr w:type="spellStart"/>
            <w:r w:rsidR="00C679BF">
              <w:rPr>
                <w:sz w:val="22"/>
              </w:rPr>
              <w:t>d’Abidjan</w:t>
            </w:r>
            <w:proofErr w:type="spellEnd"/>
            <w:r w:rsidR="00C679BF">
              <w:rPr>
                <w:sz w:val="22"/>
              </w:rPr>
              <w:t xml:space="preserve"> et </w:t>
            </w:r>
            <w:proofErr w:type="spellStart"/>
            <w:r w:rsidR="00C679BF">
              <w:rPr>
                <w:sz w:val="22"/>
              </w:rPr>
              <w:t>alentours</w:t>
            </w:r>
            <w:proofErr w:type="spellEnd"/>
            <w:r w:rsidR="00C679BF">
              <w:rPr>
                <w:sz w:val="22"/>
              </w:rPr>
              <w:t>)</w:t>
            </w:r>
            <w:r>
              <w:rPr>
                <w:sz w:val="22"/>
              </w:rPr>
              <w:t xml:space="preserve">. </w:t>
            </w:r>
            <w:proofErr w:type="spellStart"/>
            <w:r>
              <w:rPr>
                <w:sz w:val="22"/>
              </w:rPr>
              <w:t>M</w:t>
            </w:r>
            <w:r w:rsidR="006D27B2">
              <w:rPr>
                <w:sz w:val="22"/>
              </w:rPr>
              <w:t>d</w:t>
            </w:r>
            <w:r>
              <w:rPr>
                <w:sz w:val="22"/>
              </w:rPr>
              <w:t>M</w:t>
            </w:r>
            <w:proofErr w:type="spellEnd"/>
            <w:r>
              <w:rPr>
                <w:sz w:val="22"/>
              </w:rPr>
              <w:t xml:space="preserve"> </w:t>
            </w:r>
            <w:proofErr w:type="spellStart"/>
            <w:r>
              <w:rPr>
                <w:sz w:val="22"/>
              </w:rPr>
              <w:t>bénéficie</w:t>
            </w:r>
            <w:proofErr w:type="spellEnd"/>
            <w:r>
              <w:rPr>
                <w:sz w:val="22"/>
              </w:rPr>
              <w:t xml:space="preserve"> d’un </w:t>
            </w:r>
            <w:proofErr w:type="spellStart"/>
            <w:r>
              <w:rPr>
                <w:sz w:val="22"/>
              </w:rPr>
              <w:t>appui</w:t>
            </w:r>
            <w:proofErr w:type="spellEnd"/>
            <w:r>
              <w:rPr>
                <w:sz w:val="22"/>
              </w:rPr>
              <w:t xml:space="preserve"> de </w:t>
            </w:r>
            <w:proofErr w:type="spellStart"/>
            <w:r>
              <w:rPr>
                <w:sz w:val="22"/>
              </w:rPr>
              <w:t>l’AFD</w:t>
            </w:r>
            <w:proofErr w:type="spellEnd"/>
            <w:r>
              <w:rPr>
                <w:sz w:val="22"/>
              </w:rPr>
              <w:t>/Expertise France pour le</w:t>
            </w:r>
            <w:r w:rsidR="00815007">
              <w:rPr>
                <w:sz w:val="22"/>
              </w:rPr>
              <w:t>s interventions au</w:t>
            </w:r>
            <w:r>
              <w:rPr>
                <w:sz w:val="22"/>
              </w:rPr>
              <w:t xml:space="preserve"> CASA.</w:t>
            </w:r>
            <w:r w:rsidR="006D27B2">
              <w:rPr>
                <w:sz w:val="22"/>
              </w:rPr>
              <w:t xml:space="preserve"> </w:t>
            </w:r>
            <w:proofErr w:type="spellStart"/>
            <w:r w:rsidR="006D27B2">
              <w:rPr>
                <w:sz w:val="22"/>
              </w:rPr>
              <w:t>En</w:t>
            </w:r>
            <w:proofErr w:type="spellEnd"/>
            <w:r w:rsidR="006D27B2">
              <w:rPr>
                <w:sz w:val="22"/>
              </w:rPr>
              <w:t xml:space="preserve"> dehors </w:t>
            </w:r>
            <w:proofErr w:type="spellStart"/>
            <w:r w:rsidR="006D27B2">
              <w:rPr>
                <w:sz w:val="22"/>
              </w:rPr>
              <w:t>d’Abidjan</w:t>
            </w:r>
            <w:proofErr w:type="spellEnd"/>
            <w:r w:rsidR="006D27B2">
              <w:rPr>
                <w:sz w:val="22"/>
              </w:rPr>
              <w:t>, ENDA-S</w:t>
            </w:r>
            <w:r w:rsidR="000C5783">
              <w:rPr>
                <w:sz w:val="22"/>
              </w:rPr>
              <w:t>anté</w:t>
            </w:r>
            <w:r w:rsidR="006D27B2">
              <w:rPr>
                <w:sz w:val="22"/>
              </w:rPr>
              <w:t xml:space="preserve"> à travers le </w:t>
            </w:r>
            <w:proofErr w:type="spellStart"/>
            <w:r w:rsidR="006D27B2">
              <w:rPr>
                <w:sz w:val="22"/>
              </w:rPr>
              <w:t>projet</w:t>
            </w:r>
            <w:proofErr w:type="spellEnd"/>
            <w:r w:rsidR="006D27B2">
              <w:rPr>
                <w:sz w:val="22"/>
              </w:rPr>
              <w:t xml:space="preserve"> « </w:t>
            </w:r>
            <w:proofErr w:type="gramStart"/>
            <w:r w:rsidR="006D27B2" w:rsidRPr="00EC44B1">
              <w:rPr>
                <w:i/>
                <w:iCs/>
                <w:sz w:val="22"/>
              </w:rPr>
              <w:t>FEVE :</w:t>
            </w:r>
            <w:proofErr w:type="gramEnd"/>
            <w:r w:rsidR="006D27B2" w:rsidRPr="00EC44B1">
              <w:rPr>
                <w:i/>
                <w:iCs/>
                <w:sz w:val="22"/>
              </w:rPr>
              <w:t xml:space="preserve"> </w:t>
            </w:r>
            <w:proofErr w:type="spellStart"/>
            <w:r w:rsidR="006D27B2" w:rsidRPr="00EC44B1">
              <w:rPr>
                <w:i/>
                <w:iCs/>
                <w:sz w:val="22"/>
              </w:rPr>
              <w:t>Frontières</w:t>
            </w:r>
            <w:proofErr w:type="spellEnd"/>
            <w:r w:rsidR="006D27B2" w:rsidRPr="00EC44B1">
              <w:rPr>
                <w:i/>
                <w:iCs/>
                <w:sz w:val="22"/>
              </w:rPr>
              <w:t xml:space="preserve"> et </w:t>
            </w:r>
            <w:proofErr w:type="spellStart"/>
            <w:r w:rsidR="006D27B2" w:rsidRPr="00EC44B1">
              <w:rPr>
                <w:i/>
                <w:iCs/>
                <w:sz w:val="22"/>
              </w:rPr>
              <w:t>Vulnerabilités</w:t>
            </w:r>
            <w:proofErr w:type="spellEnd"/>
            <w:r w:rsidR="006D27B2" w:rsidRPr="00EC44B1">
              <w:rPr>
                <w:i/>
                <w:iCs/>
                <w:sz w:val="22"/>
              </w:rPr>
              <w:t xml:space="preserve"> au VIH</w:t>
            </w:r>
            <w:r w:rsidR="006D27B2">
              <w:rPr>
                <w:sz w:val="22"/>
              </w:rPr>
              <w:t> »</w:t>
            </w:r>
            <w:r w:rsidR="000C5783">
              <w:rPr>
                <w:sz w:val="22"/>
              </w:rPr>
              <w:t xml:space="preserve"> </w:t>
            </w:r>
            <w:r w:rsidR="006D27B2">
              <w:rPr>
                <w:sz w:val="22"/>
              </w:rPr>
              <w:t xml:space="preserve">(Fonds </w:t>
            </w:r>
            <w:proofErr w:type="spellStart"/>
            <w:r w:rsidR="006D27B2">
              <w:rPr>
                <w:sz w:val="22"/>
              </w:rPr>
              <w:t>Luxembourgeois</w:t>
            </w:r>
            <w:proofErr w:type="spellEnd"/>
            <w:r w:rsidR="006D27B2">
              <w:rPr>
                <w:sz w:val="22"/>
              </w:rPr>
              <w:t xml:space="preserve">) </w:t>
            </w:r>
            <w:proofErr w:type="spellStart"/>
            <w:r w:rsidR="006D27B2">
              <w:rPr>
                <w:sz w:val="22"/>
              </w:rPr>
              <w:t>intervient</w:t>
            </w:r>
            <w:proofErr w:type="spellEnd"/>
            <w:r w:rsidR="006D27B2">
              <w:rPr>
                <w:sz w:val="22"/>
              </w:rPr>
              <w:t xml:space="preserve"> dans 2 </w:t>
            </w:r>
            <w:proofErr w:type="spellStart"/>
            <w:r w:rsidR="006D27B2">
              <w:rPr>
                <w:sz w:val="22"/>
              </w:rPr>
              <w:t>villes</w:t>
            </w:r>
            <w:proofErr w:type="spellEnd"/>
            <w:r w:rsidR="006D27B2">
              <w:rPr>
                <w:sz w:val="22"/>
              </w:rPr>
              <w:t xml:space="preserve"> : </w:t>
            </w:r>
            <w:proofErr w:type="spellStart"/>
            <w:r w:rsidR="006D27B2">
              <w:rPr>
                <w:sz w:val="22"/>
              </w:rPr>
              <w:t>Bouaké</w:t>
            </w:r>
            <w:proofErr w:type="spellEnd"/>
            <w:r w:rsidR="006D27B2">
              <w:rPr>
                <w:sz w:val="22"/>
              </w:rPr>
              <w:t xml:space="preserve"> et Yamoussoukro. Un </w:t>
            </w:r>
            <w:proofErr w:type="spellStart"/>
            <w:r w:rsidR="006D27B2">
              <w:rPr>
                <w:sz w:val="22"/>
              </w:rPr>
              <w:t>projet</w:t>
            </w:r>
            <w:proofErr w:type="spellEnd"/>
            <w:r w:rsidR="006D27B2">
              <w:rPr>
                <w:sz w:val="22"/>
              </w:rPr>
              <w:t xml:space="preserve"> </w:t>
            </w:r>
            <w:proofErr w:type="spellStart"/>
            <w:r w:rsidR="006D27B2">
              <w:rPr>
                <w:sz w:val="22"/>
              </w:rPr>
              <w:t>d’extension</w:t>
            </w:r>
            <w:proofErr w:type="spellEnd"/>
            <w:r w:rsidR="006D27B2">
              <w:rPr>
                <w:sz w:val="22"/>
              </w:rPr>
              <w:t xml:space="preserve"> des </w:t>
            </w:r>
            <w:proofErr w:type="spellStart"/>
            <w:r w:rsidR="006D27B2">
              <w:rPr>
                <w:sz w:val="22"/>
              </w:rPr>
              <w:t>activités</w:t>
            </w:r>
            <w:proofErr w:type="spellEnd"/>
            <w:r w:rsidR="006D27B2">
              <w:rPr>
                <w:sz w:val="22"/>
              </w:rPr>
              <w:t xml:space="preserve"> à </w:t>
            </w:r>
            <w:proofErr w:type="spellStart"/>
            <w:r w:rsidR="006D27B2">
              <w:rPr>
                <w:sz w:val="22"/>
              </w:rPr>
              <w:t>l’endroit</w:t>
            </w:r>
            <w:proofErr w:type="spellEnd"/>
            <w:r w:rsidR="006D27B2">
              <w:rPr>
                <w:sz w:val="22"/>
              </w:rPr>
              <w:t xml:space="preserve"> des UD/UDI </w:t>
            </w:r>
            <w:proofErr w:type="spellStart"/>
            <w:r w:rsidR="006D27B2">
              <w:rPr>
                <w:sz w:val="22"/>
              </w:rPr>
              <w:t>vers</w:t>
            </w:r>
            <w:proofErr w:type="spellEnd"/>
            <w:r w:rsidR="006D27B2">
              <w:rPr>
                <w:sz w:val="22"/>
              </w:rPr>
              <w:t xml:space="preserve"> </w:t>
            </w:r>
            <w:proofErr w:type="spellStart"/>
            <w:r w:rsidR="006D27B2">
              <w:rPr>
                <w:sz w:val="22"/>
              </w:rPr>
              <w:t>Katiola</w:t>
            </w:r>
            <w:proofErr w:type="spellEnd"/>
            <w:r w:rsidR="006D27B2">
              <w:rPr>
                <w:sz w:val="22"/>
              </w:rPr>
              <w:t xml:space="preserve"> (E</w:t>
            </w:r>
            <w:r w:rsidR="000C5783">
              <w:rPr>
                <w:sz w:val="22"/>
              </w:rPr>
              <w:t>NDA</w:t>
            </w:r>
            <w:r w:rsidR="006D27B2">
              <w:rPr>
                <w:sz w:val="22"/>
              </w:rPr>
              <w:t>-Santé) et San-</w:t>
            </w:r>
            <w:proofErr w:type="spellStart"/>
            <w:r w:rsidR="006D27B2">
              <w:rPr>
                <w:sz w:val="22"/>
              </w:rPr>
              <w:t>Pédro</w:t>
            </w:r>
            <w:proofErr w:type="spellEnd"/>
            <w:r w:rsidR="006D27B2">
              <w:rPr>
                <w:sz w:val="22"/>
              </w:rPr>
              <w:t xml:space="preserve"> (</w:t>
            </w:r>
            <w:proofErr w:type="spellStart"/>
            <w:r w:rsidR="006D27B2">
              <w:rPr>
                <w:sz w:val="22"/>
              </w:rPr>
              <w:t>MdM</w:t>
            </w:r>
            <w:proofErr w:type="spellEnd"/>
            <w:r w:rsidR="006D27B2">
              <w:rPr>
                <w:sz w:val="22"/>
              </w:rPr>
              <w:t xml:space="preserve">) </w:t>
            </w:r>
            <w:proofErr w:type="spellStart"/>
            <w:r w:rsidR="000C5783">
              <w:rPr>
                <w:sz w:val="22"/>
              </w:rPr>
              <w:t>est</w:t>
            </w:r>
            <w:proofErr w:type="spellEnd"/>
            <w:r w:rsidR="000C5783">
              <w:rPr>
                <w:sz w:val="22"/>
              </w:rPr>
              <w:t xml:space="preserve"> </w:t>
            </w:r>
            <w:proofErr w:type="spellStart"/>
            <w:r w:rsidR="000C5783">
              <w:rPr>
                <w:sz w:val="22"/>
              </w:rPr>
              <w:t>en</w:t>
            </w:r>
            <w:proofErr w:type="spellEnd"/>
            <w:r w:rsidR="000C5783">
              <w:rPr>
                <w:sz w:val="22"/>
              </w:rPr>
              <w:t xml:space="preserve"> </w:t>
            </w:r>
            <w:proofErr w:type="spellStart"/>
            <w:r w:rsidR="000C5783">
              <w:rPr>
                <w:sz w:val="22"/>
              </w:rPr>
              <w:t>cours</w:t>
            </w:r>
            <w:proofErr w:type="spellEnd"/>
            <w:r w:rsidR="000C5783">
              <w:rPr>
                <w:sz w:val="22"/>
              </w:rPr>
              <w:t xml:space="preserve"> </w:t>
            </w:r>
            <w:r w:rsidR="006D27B2">
              <w:rPr>
                <w:sz w:val="22"/>
              </w:rPr>
              <w:t xml:space="preserve">avec </w:t>
            </w:r>
            <w:proofErr w:type="spellStart"/>
            <w:r w:rsidR="006D27B2">
              <w:rPr>
                <w:sz w:val="22"/>
              </w:rPr>
              <w:t>d’autres</w:t>
            </w:r>
            <w:proofErr w:type="spellEnd"/>
            <w:r w:rsidR="006D27B2">
              <w:rPr>
                <w:sz w:val="22"/>
              </w:rPr>
              <w:t xml:space="preserve"> </w:t>
            </w:r>
            <w:proofErr w:type="spellStart"/>
            <w:r w:rsidR="006D27B2">
              <w:rPr>
                <w:sz w:val="22"/>
              </w:rPr>
              <w:t>financements</w:t>
            </w:r>
            <w:proofErr w:type="spellEnd"/>
            <w:r w:rsidR="006D27B2">
              <w:rPr>
                <w:sz w:val="22"/>
              </w:rPr>
              <w:t xml:space="preserve"> que le FM. </w:t>
            </w:r>
          </w:p>
          <w:p w14:paraId="2AE3EFF2" w14:textId="77777777" w:rsidR="00F16C1A" w:rsidRPr="00390EA4" w:rsidRDefault="00F16C1A" w:rsidP="00F16C1A">
            <w:pPr>
              <w:pStyle w:val="Default"/>
              <w:rPr>
                <w:i/>
                <w:sz w:val="22"/>
                <w:u w:val="single"/>
              </w:rPr>
            </w:pPr>
          </w:p>
          <w:p w14:paraId="0578E239" w14:textId="5CB3D9C2" w:rsidR="00F16C1A" w:rsidRPr="001B7DE0" w:rsidRDefault="00F16C1A" w:rsidP="001B7DE0">
            <w:pPr>
              <w:pStyle w:val="Default"/>
              <w:numPr>
                <w:ilvl w:val="0"/>
                <w:numId w:val="30"/>
              </w:numPr>
              <w:rPr>
                <w:b/>
                <w:sz w:val="22"/>
              </w:rPr>
            </w:pPr>
            <w:r w:rsidRPr="001B7DE0">
              <w:rPr>
                <w:b/>
                <w:sz w:val="22"/>
              </w:rPr>
              <w:t xml:space="preserve">Education </w:t>
            </w:r>
            <w:proofErr w:type="spellStart"/>
            <w:r w:rsidR="000C5783">
              <w:rPr>
                <w:b/>
                <w:sz w:val="22"/>
                <w:szCs w:val="22"/>
              </w:rPr>
              <w:t>C</w:t>
            </w:r>
            <w:r w:rsidRPr="00401260">
              <w:rPr>
                <w:b/>
                <w:sz w:val="22"/>
                <w:szCs w:val="22"/>
              </w:rPr>
              <w:t>ompl</w:t>
            </w:r>
            <w:r w:rsidR="00A67F18">
              <w:rPr>
                <w:b/>
                <w:sz w:val="22"/>
                <w:szCs w:val="22"/>
              </w:rPr>
              <w:t>è</w:t>
            </w:r>
            <w:r w:rsidRPr="00401260">
              <w:rPr>
                <w:b/>
                <w:sz w:val="22"/>
                <w:szCs w:val="22"/>
              </w:rPr>
              <w:t>te</w:t>
            </w:r>
            <w:proofErr w:type="spellEnd"/>
            <w:r w:rsidRPr="001B7DE0">
              <w:rPr>
                <w:b/>
                <w:sz w:val="22"/>
              </w:rPr>
              <w:t xml:space="preserve"> à la </w:t>
            </w:r>
            <w:proofErr w:type="spellStart"/>
            <w:r w:rsidR="000C5783">
              <w:rPr>
                <w:b/>
                <w:sz w:val="22"/>
                <w:szCs w:val="22"/>
              </w:rPr>
              <w:t>S</w:t>
            </w:r>
            <w:r w:rsidRPr="00401260">
              <w:rPr>
                <w:b/>
                <w:sz w:val="22"/>
                <w:szCs w:val="22"/>
              </w:rPr>
              <w:t>exualité</w:t>
            </w:r>
            <w:proofErr w:type="spellEnd"/>
            <w:r w:rsidR="000C5783">
              <w:rPr>
                <w:b/>
                <w:sz w:val="22"/>
                <w:szCs w:val="22"/>
              </w:rPr>
              <w:t xml:space="preserve"> (ECS)</w:t>
            </w:r>
          </w:p>
          <w:p w14:paraId="7C132BC8" w14:textId="06A4DAED" w:rsidR="00F4009D" w:rsidRDefault="00F16C1A" w:rsidP="005010EE">
            <w:pPr>
              <w:pStyle w:val="Texteformulaire"/>
              <w:rPr>
                <w:lang w:val="fr-FR"/>
              </w:rPr>
            </w:pPr>
            <w:r w:rsidRPr="00390EA4">
              <w:rPr>
                <w:lang w:val="fr-FR"/>
              </w:rPr>
              <w:t xml:space="preserve">En appui aux initiatives </w:t>
            </w:r>
            <w:proofErr w:type="spellStart"/>
            <w:r w:rsidRPr="00390EA4">
              <w:rPr>
                <w:lang w:val="fr-FR"/>
              </w:rPr>
              <w:t>déja</w:t>
            </w:r>
            <w:proofErr w:type="spellEnd"/>
            <w:r w:rsidRPr="00390EA4">
              <w:rPr>
                <w:lang w:val="fr-FR"/>
              </w:rPr>
              <w:t xml:space="preserve"> en cours, </w:t>
            </w:r>
            <w:r w:rsidR="00CC7E44">
              <w:rPr>
                <w:lang w:val="fr-FR"/>
              </w:rPr>
              <w:t>les efforts</w:t>
            </w:r>
            <w:r w:rsidRPr="00390EA4">
              <w:rPr>
                <w:lang w:val="fr-FR"/>
              </w:rPr>
              <w:t xml:space="preserve"> viser</w:t>
            </w:r>
            <w:r w:rsidR="00CC7E44">
              <w:rPr>
                <w:lang w:val="fr-FR"/>
              </w:rPr>
              <w:t>ont</w:t>
            </w:r>
            <w:r w:rsidRPr="00390EA4">
              <w:rPr>
                <w:lang w:val="fr-FR"/>
              </w:rPr>
              <w:t xml:space="preserve"> le renforcement des capacités des enseignants et des parents sur la communication pour le changement social et comportemental (CCSC) des jeunes et adolescents</w:t>
            </w:r>
            <w:r w:rsidR="00CC7E44">
              <w:rPr>
                <w:lang w:val="fr-FR"/>
              </w:rPr>
              <w:t xml:space="preserve"> en matière d’</w:t>
            </w:r>
            <w:proofErr w:type="spellStart"/>
            <w:r w:rsidR="00CC7E44">
              <w:rPr>
                <w:lang w:val="fr-FR"/>
              </w:rPr>
              <w:t>education</w:t>
            </w:r>
            <w:proofErr w:type="spellEnd"/>
            <w:r w:rsidR="00CC7E44">
              <w:rPr>
                <w:lang w:val="fr-FR"/>
              </w:rPr>
              <w:t xml:space="preserve"> sexuelle</w:t>
            </w:r>
            <w:r w:rsidR="007501BD">
              <w:rPr>
                <w:lang w:val="fr-FR"/>
              </w:rPr>
              <w:t xml:space="preserve">. Cet effort visera particulièrement les ado et jeunes issus des populations clés, notamment les jeunes filles victimes </w:t>
            </w:r>
            <w:proofErr w:type="spellStart"/>
            <w:r w:rsidR="007501BD">
              <w:rPr>
                <w:lang w:val="fr-FR"/>
              </w:rPr>
              <w:t>dexploitation</w:t>
            </w:r>
            <w:proofErr w:type="spellEnd"/>
            <w:r w:rsidR="007501BD">
              <w:rPr>
                <w:lang w:val="fr-FR"/>
              </w:rPr>
              <w:t xml:space="preserve"> sexuelle</w:t>
            </w:r>
            <w:r w:rsidRPr="00390EA4">
              <w:rPr>
                <w:lang w:val="fr-FR"/>
              </w:rPr>
              <w:t>.</w:t>
            </w:r>
            <w:r w:rsidR="00CC7E44">
              <w:rPr>
                <w:lang w:val="fr-FR"/>
              </w:rPr>
              <w:t xml:space="preserve"> </w:t>
            </w:r>
            <w:r w:rsidR="00CC7E44" w:rsidRPr="00216AC3">
              <w:rPr>
                <w:lang w:val="fr-FR"/>
              </w:rPr>
              <w:t xml:space="preserve">La sensibilisation des jeunes et des adolescents en milieu scolaire a été estimée comme </w:t>
            </w:r>
            <w:r w:rsidR="00CC7E44">
              <w:rPr>
                <w:lang w:val="fr-FR"/>
              </w:rPr>
              <w:t>une</w:t>
            </w:r>
            <w:r w:rsidR="00CC7E44" w:rsidRPr="00216AC3">
              <w:rPr>
                <w:lang w:val="fr-FR"/>
              </w:rPr>
              <w:t xml:space="preserve"> intervention </w:t>
            </w:r>
            <w:r w:rsidR="00CC7E44">
              <w:rPr>
                <w:lang w:val="fr-FR"/>
              </w:rPr>
              <w:t>très</w:t>
            </w:r>
            <w:r w:rsidR="00CC7E44" w:rsidRPr="00216AC3">
              <w:rPr>
                <w:lang w:val="fr-FR"/>
              </w:rPr>
              <w:t xml:space="preserve"> rentable</w:t>
            </w:r>
            <w:r w:rsidR="00CC7E44">
              <w:rPr>
                <w:lang w:val="fr-FR"/>
              </w:rPr>
              <w:t xml:space="preserve"> en matière de prévention dans </w:t>
            </w:r>
            <w:r w:rsidR="00CC7E44" w:rsidRPr="00216AC3">
              <w:rPr>
                <w:lang w:val="fr-FR"/>
              </w:rPr>
              <w:t xml:space="preserve">le </w:t>
            </w:r>
            <w:r w:rsidR="00CC7E44">
              <w:rPr>
                <w:lang w:val="fr-FR"/>
              </w:rPr>
              <w:t>R</w:t>
            </w:r>
            <w:r w:rsidR="00CC7E44" w:rsidRPr="00216AC3">
              <w:rPr>
                <w:lang w:val="fr-FR"/>
              </w:rPr>
              <w:t>apport GOALS d'Avenir Health</w:t>
            </w:r>
            <w:r w:rsidR="00CC7E44">
              <w:rPr>
                <w:lang w:val="fr-FR"/>
              </w:rPr>
              <w:t>.</w:t>
            </w:r>
            <w:r w:rsidRPr="00390EA4">
              <w:rPr>
                <w:lang w:val="fr-FR"/>
              </w:rPr>
              <w:t xml:space="preserve"> </w:t>
            </w:r>
          </w:p>
          <w:p w14:paraId="3F2AD29F" w14:textId="3D464948" w:rsidR="00F16C1A" w:rsidRDefault="007501BD" w:rsidP="005010EE">
            <w:pPr>
              <w:pStyle w:val="Texteformulaire"/>
            </w:pPr>
            <w:r>
              <w:rPr>
                <w:lang w:val="fr-FR"/>
              </w:rPr>
              <w:t>En s’inspirant de la cartographie des acteurs et initiatives en rapport avec l’ECS réalisée par l’</w:t>
            </w:r>
            <w:r w:rsidRPr="00CB2F86">
              <w:rPr>
                <w:lang w:val="fr-FR"/>
              </w:rPr>
              <w:t>OMS</w:t>
            </w:r>
            <w:r>
              <w:rPr>
                <w:lang w:val="fr-FR"/>
              </w:rPr>
              <w:t>, i</w:t>
            </w:r>
            <w:r w:rsidR="00F16C1A">
              <w:t xml:space="preserve">l </w:t>
            </w:r>
            <w:proofErr w:type="spellStart"/>
            <w:r w:rsidR="00F16C1A">
              <w:t>s’agira</w:t>
            </w:r>
            <w:proofErr w:type="spellEnd"/>
            <w:r w:rsidR="00F16C1A">
              <w:t xml:space="preserve"> </w:t>
            </w:r>
            <w:proofErr w:type="spellStart"/>
            <w:r w:rsidR="00F16C1A">
              <w:t>principalement</w:t>
            </w:r>
            <w:proofErr w:type="spellEnd"/>
            <w:r w:rsidR="00F16C1A">
              <w:t xml:space="preserve"> de</w:t>
            </w:r>
            <w:r w:rsidR="00CC7E44">
              <w:t xml:space="preserve"> </w:t>
            </w:r>
            <w:r w:rsidR="00F16C1A">
              <w:t>:</w:t>
            </w:r>
          </w:p>
          <w:p w14:paraId="68DEF008" w14:textId="77777777" w:rsidR="00F16C1A" w:rsidRPr="00390EA4" w:rsidRDefault="00F16C1A" w:rsidP="00E6201D">
            <w:pPr>
              <w:pStyle w:val="liste1"/>
            </w:pPr>
            <w:proofErr w:type="spellStart"/>
            <w:r w:rsidRPr="00306FB8">
              <w:t>Organiser</w:t>
            </w:r>
            <w:proofErr w:type="spellEnd"/>
            <w:r w:rsidRPr="00306FB8">
              <w:t xml:space="preserve"> 01 session </w:t>
            </w:r>
            <w:proofErr w:type="spellStart"/>
            <w:r w:rsidRPr="00306FB8">
              <w:t>nationale</w:t>
            </w:r>
            <w:proofErr w:type="spellEnd"/>
            <w:r w:rsidRPr="00306FB8">
              <w:t xml:space="preserve"> de formation de </w:t>
            </w:r>
            <w:proofErr w:type="spellStart"/>
            <w:r w:rsidRPr="00306FB8">
              <w:t>formateurs</w:t>
            </w:r>
            <w:proofErr w:type="spellEnd"/>
            <w:r w:rsidRPr="00306FB8">
              <w:t xml:space="preserve"> </w:t>
            </w:r>
            <w:proofErr w:type="spellStart"/>
            <w:r w:rsidRPr="00306FB8">
              <w:t>d'EP</w:t>
            </w:r>
            <w:proofErr w:type="spellEnd"/>
            <w:r w:rsidRPr="00306FB8">
              <w:t xml:space="preserve"> </w:t>
            </w:r>
            <w:proofErr w:type="spellStart"/>
            <w:r w:rsidRPr="00306FB8">
              <w:t>enseignants</w:t>
            </w:r>
            <w:proofErr w:type="spellEnd"/>
            <w:r w:rsidRPr="00306FB8">
              <w:t xml:space="preserve"> à </w:t>
            </w:r>
            <w:proofErr w:type="spellStart"/>
            <w:r w:rsidRPr="00306FB8">
              <w:t>l'ECS</w:t>
            </w:r>
            <w:proofErr w:type="spellEnd"/>
            <w:r w:rsidRPr="00306FB8">
              <w:t xml:space="preserve"> </w:t>
            </w:r>
          </w:p>
          <w:p w14:paraId="4BAB4DAE" w14:textId="77777777" w:rsidR="00F16C1A" w:rsidRPr="00390EA4" w:rsidRDefault="00F16C1A" w:rsidP="00E6201D">
            <w:pPr>
              <w:pStyle w:val="liste1"/>
            </w:pPr>
            <w:proofErr w:type="spellStart"/>
            <w:r w:rsidRPr="00306FB8">
              <w:t>Organiser</w:t>
            </w:r>
            <w:proofErr w:type="spellEnd"/>
            <w:r w:rsidRPr="00306FB8">
              <w:t xml:space="preserve"> des sessions de formation </w:t>
            </w:r>
            <w:proofErr w:type="spellStart"/>
            <w:r w:rsidRPr="00306FB8">
              <w:t>d'EP</w:t>
            </w:r>
            <w:proofErr w:type="spellEnd"/>
            <w:r w:rsidRPr="00306FB8">
              <w:t xml:space="preserve"> </w:t>
            </w:r>
            <w:proofErr w:type="spellStart"/>
            <w:r w:rsidRPr="00306FB8">
              <w:t>enseignants</w:t>
            </w:r>
            <w:proofErr w:type="spellEnd"/>
            <w:r w:rsidRPr="00306FB8">
              <w:t xml:space="preserve"> à </w:t>
            </w:r>
            <w:proofErr w:type="spellStart"/>
            <w:r w:rsidRPr="00306FB8">
              <w:t>l'ECS</w:t>
            </w:r>
            <w:proofErr w:type="spellEnd"/>
            <w:r w:rsidRPr="00306FB8">
              <w:t xml:space="preserve">  </w:t>
            </w:r>
          </w:p>
          <w:p w14:paraId="05CFDFD6" w14:textId="7AB5E222" w:rsidR="00F16C1A" w:rsidRPr="00390EA4" w:rsidRDefault="00F16C1A" w:rsidP="00E6201D">
            <w:pPr>
              <w:pStyle w:val="liste1"/>
            </w:pPr>
            <w:proofErr w:type="spellStart"/>
            <w:r w:rsidRPr="00306FB8">
              <w:t>Organiser</w:t>
            </w:r>
            <w:proofErr w:type="spellEnd"/>
            <w:r w:rsidRPr="00306FB8">
              <w:t xml:space="preserve"> 01 session de formation de </w:t>
            </w:r>
            <w:proofErr w:type="spellStart"/>
            <w:r w:rsidRPr="00306FB8">
              <w:t>formateurs</w:t>
            </w:r>
            <w:proofErr w:type="spellEnd"/>
            <w:r w:rsidRPr="00306FB8">
              <w:t xml:space="preserve"> </w:t>
            </w:r>
            <w:proofErr w:type="spellStart"/>
            <w:r w:rsidRPr="00306FB8">
              <w:t>d'EP</w:t>
            </w:r>
            <w:proofErr w:type="spellEnd"/>
            <w:r w:rsidRPr="00306FB8">
              <w:t xml:space="preserve">-parents </w:t>
            </w:r>
            <w:proofErr w:type="spellStart"/>
            <w:r w:rsidRPr="00306FB8">
              <w:t>d'élèves</w:t>
            </w:r>
            <w:proofErr w:type="spellEnd"/>
            <w:r w:rsidRPr="00306FB8">
              <w:t xml:space="preserve"> des COGES à </w:t>
            </w:r>
            <w:proofErr w:type="spellStart"/>
            <w:r w:rsidRPr="00306FB8">
              <w:t>l'ECS</w:t>
            </w:r>
            <w:proofErr w:type="spellEnd"/>
            <w:r w:rsidRPr="00306FB8">
              <w:t xml:space="preserve"> </w:t>
            </w:r>
          </w:p>
          <w:p w14:paraId="12CABD22" w14:textId="1BDB75A6" w:rsidR="00F16C1A" w:rsidRPr="00390EA4" w:rsidRDefault="00F16C1A" w:rsidP="00021113">
            <w:pPr>
              <w:pStyle w:val="liste1"/>
            </w:pPr>
            <w:proofErr w:type="spellStart"/>
            <w:r w:rsidRPr="00306FB8">
              <w:t>Organiser</w:t>
            </w:r>
            <w:proofErr w:type="spellEnd"/>
            <w:r w:rsidRPr="00306FB8">
              <w:t xml:space="preserve"> des sessions de formation </w:t>
            </w:r>
            <w:proofErr w:type="spellStart"/>
            <w:r w:rsidRPr="00306FB8">
              <w:t>d'EP</w:t>
            </w:r>
            <w:proofErr w:type="spellEnd"/>
            <w:r w:rsidRPr="00306FB8">
              <w:t xml:space="preserve">-parents </w:t>
            </w:r>
            <w:proofErr w:type="spellStart"/>
            <w:r w:rsidRPr="00306FB8">
              <w:t>d'élèves</w:t>
            </w:r>
            <w:proofErr w:type="spellEnd"/>
            <w:r w:rsidRPr="00306FB8">
              <w:t xml:space="preserve"> des COGES à </w:t>
            </w:r>
            <w:proofErr w:type="spellStart"/>
            <w:r w:rsidRPr="00306FB8">
              <w:t>l'ECS</w:t>
            </w:r>
            <w:proofErr w:type="spellEnd"/>
          </w:p>
          <w:p w14:paraId="6465E764" w14:textId="093E86AB" w:rsidR="000E7F91" w:rsidRPr="003A3250" w:rsidRDefault="00CC7E44" w:rsidP="000E7F91">
            <w:pPr>
              <w:pStyle w:val="Texteformulaire"/>
              <w:rPr>
                <w:lang w:val="fr-FR"/>
              </w:rPr>
            </w:pPr>
            <w:r>
              <w:rPr>
                <w:lang w:val="fr-FR"/>
              </w:rPr>
              <w:lastRenderedPageBreak/>
              <w:t xml:space="preserve">L’approche </w:t>
            </w:r>
            <w:proofErr w:type="spellStart"/>
            <w:r>
              <w:rPr>
                <w:lang w:val="fr-FR"/>
              </w:rPr>
              <w:t>Ready</w:t>
            </w:r>
            <w:proofErr w:type="spellEnd"/>
            <w:r>
              <w:rPr>
                <w:lang w:val="fr-FR"/>
              </w:rPr>
              <w:t xml:space="preserve"> sera promue par Alliance Côte d’Ivoire. La pla</w:t>
            </w:r>
            <w:r w:rsidR="000E7F91" w:rsidRPr="003A3250">
              <w:rPr>
                <w:lang w:val="fr-FR"/>
              </w:rPr>
              <w:t xml:space="preserve">teforme </w:t>
            </w:r>
            <w:proofErr w:type="spellStart"/>
            <w:r w:rsidR="000E7F91" w:rsidRPr="003A3250">
              <w:rPr>
                <w:lang w:val="fr-FR"/>
              </w:rPr>
              <w:t>Esanté</w:t>
            </w:r>
            <w:proofErr w:type="spellEnd"/>
            <w:r w:rsidR="000E7F91" w:rsidRPr="003A3250">
              <w:rPr>
                <w:lang w:val="fr-FR"/>
              </w:rPr>
              <w:t xml:space="preserve"> (avec le SSSU) sera renforcée pour traiter des questions de </w:t>
            </w:r>
            <w:r>
              <w:rPr>
                <w:lang w:val="fr-FR"/>
              </w:rPr>
              <w:t>SSR</w:t>
            </w:r>
            <w:r w:rsidR="000E7F91" w:rsidRPr="003A3250">
              <w:rPr>
                <w:lang w:val="fr-FR"/>
              </w:rPr>
              <w:t xml:space="preserve"> </w:t>
            </w:r>
            <w:r>
              <w:rPr>
                <w:lang w:val="fr-FR"/>
              </w:rPr>
              <w:t>avec l’appui du</w:t>
            </w:r>
            <w:r w:rsidR="000E7F91" w:rsidRPr="003A3250">
              <w:rPr>
                <w:lang w:val="fr-FR"/>
              </w:rPr>
              <w:t xml:space="preserve"> Canada</w:t>
            </w:r>
            <w:r>
              <w:rPr>
                <w:lang w:val="fr-FR"/>
              </w:rPr>
              <w:t>, d</w:t>
            </w:r>
            <w:r w:rsidR="000E7F91" w:rsidRPr="003A3250">
              <w:rPr>
                <w:lang w:val="fr-FR"/>
              </w:rPr>
              <w:t xml:space="preserve">es solutions digitales sont prévues pour sensibiliser les jeunes (Projet UNFPA). </w:t>
            </w:r>
            <w:r>
              <w:rPr>
                <w:lang w:val="fr-FR"/>
              </w:rPr>
              <w:t>Les interventions en milieu scolaire sont financées par UNFPA</w:t>
            </w:r>
            <w:r w:rsidR="004F3269">
              <w:rPr>
                <w:lang w:val="fr-FR"/>
              </w:rPr>
              <w:t xml:space="preserve"> avec le Ministère de l’Education Nationale et de l’Enseignement Technique.</w:t>
            </w:r>
          </w:p>
          <w:p w14:paraId="22ECB1B0" w14:textId="77777777" w:rsidR="007524CE" w:rsidRDefault="007524CE" w:rsidP="00390EA4">
            <w:pPr>
              <w:spacing w:after="0" w:line="240" w:lineRule="auto"/>
              <w:rPr>
                <w:color w:val="000000"/>
              </w:rPr>
            </w:pPr>
          </w:p>
          <w:p w14:paraId="3800C63C" w14:textId="380694B6" w:rsidR="00DB5A85" w:rsidRPr="00390EA4" w:rsidRDefault="00DB5A85" w:rsidP="00F51D57">
            <w:pPr>
              <w:autoSpaceDE w:val="0"/>
              <w:autoSpaceDN w:val="0"/>
              <w:adjustRightInd w:val="0"/>
              <w:spacing w:after="0" w:line="240" w:lineRule="auto"/>
              <w:rPr>
                <w:color w:val="000000"/>
              </w:rPr>
            </w:pPr>
            <w:r w:rsidRPr="00750CA9">
              <w:rPr>
                <w:b/>
                <w:bCs/>
                <w:iCs/>
                <w:sz w:val="22"/>
                <w:szCs w:val="22"/>
              </w:rPr>
              <w:t xml:space="preserve">Cf. </w:t>
            </w:r>
            <w:proofErr w:type="spellStart"/>
            <w:r w:rsidRPr="00750CA9">
              <w:rPr>
                <w:b/>
                <w:bCs/>
                <w:iCs/>
                <w:sz w:val="22"/>
                <w:szCs w:val="22"/>
              </w:rPr>
              <w:t>cartographie</w:t>
            </w:r>
            <w:proofErr w:type="spellEnd"/>
            <w:r w:rsidRPr="00750CA9">
              <w:rPr>
                <w:b/>
                <w:bCs/>
                <w:iCs/>
                <w:sz w:val="22"/>
                <w:szCs w:val="22"/>
              </w:rPr>
              <w:t xml:space="preserve"> de </w:t>
            </w:r>
            <w:proofErr w:type="spellStart"/>
            <w:r w:rsidRPr="00750CA9">
              <w:rPr>
                <w:b/>
                <w:bCs/>
                <w:iCs/>
                <w:sz w:val="22"/>
                <w:szCs w:val="22"/>
              </w:rPr>
              <w:t>l’offre</w:t>
            </w:r>
            <w:proofErr w:type="spellEnd"/>
            <w:r w:rsidRPr="00750CA9">
              <w:rPr>
                <w:b/>
                <w:bCs/>
                <w:iCs/>
                <w:sz w:val="22"/>
                <w:szCs w:val="22"/>
              </w:rPr>
              <w:t xml:space="preserve"> de services PEPFAR et FM </w:t>
            </w:r>
            <w:r w:rsidR="0002374C" w:rsidRPr="0002374C">
              <w:rPr>
                <w:i/>
                <w:sz w:val="22"/>
                <w:szCs w:val="22"/>
              </w:rPr>
              <w:t>(</w:t>
            </w:r>
            <w:proofErr w:type="spellStart"/>
            <w:r w:rsidR="0002374C" w:rsidRPr="0002374C">
              <w:rPr>
                <w:i/>
                <w:sz w:val="22"/>
                <w:szCs w:val="22"/>
              </w:rPr>
              <w:t>Annexe</w:t>
            </w:r>
            <w:proofErr w:type="spellEnd"/>
            <w:r w:rsidR="0002374C" w:rsidRPr="0002374C">
              <w:rPr>
                <w:i/>
                <w:sz w:val="22"/>
                <w:szCs w:val="22"/>
              </w:rPr>
              <w:t xml:space="preserve"> </w:t>
            </w:r>
            <w:r w:rsidR="0002374C">
              <w:rPr>
                <w:i/>
                <w:sz w:val="22"/>
                <w:szCs w:val="22"/>
              </w:rPr>
              <w:t>27</w:t>
            </w:r>
            <w:r w:rsidR="0002374C" w:rsidRPr="0002374C">
              <w:rPr>
                <w:i/>
                <w:sz w:val="22"/>
                <w:szCs w:val="22"/>
              </w:rPr>
              <w:t>)</w:t>
            </w:r>
          </w:p>
        </w:tc>
      </w:tr>
      <w:tr w:rsidR="0098274C" w:rsidRPr="0037522B" w14:paraId="1154E86F" w14:textId="77777777" w:rsidTr="007A0F0B">
        <w:trPr>
          <w:trHeight w:val="288"/>
        </w:trPr>
        <w:tc>
          <w:tcPr>
            <w:tcW w:w="1701" w:type="dxa"/>
            <w:shd w:val="clear" w:color="auto" w:fill="F2F2F2"/>
            <w:vAlign w:val="center"/>
          </w:tcPr>
          <w:p w14:paraId="71B71331" w14:textId="385FF0A5" w:rsidR="0098274C" w:rsidRPr="007F7A64" w:rsidRDefault="00F806A3" w:rsidP="00E80CEF">
            <w:pPr>
              <w:spacing w:after="0"/>
              <w:rPr>
                <w:b/>
              </w:rPr>
            </w:pPr>
            <w:r>
              <w:rPr>
                <w:b/>
                <w:lang w:bidi="fr-FR"/>
              </w:rPr>
              <w:lastRenderedPageBreak/>
              <w:t xml:space="preserve">Populations </w:t>
            </w:r>
            <w:proofErr w:type="spellStart"/>
            <w:r>
              <w:rPr>
                <w:b/>
                <w:lang w:bidi="fr-FR"/>
              </w:rPr>
              <w:t>prioritaires</w:t>
            </w:r>
            <w:proofErr w:type="spellEnd"/>
          </w:p>
        </w:tc>
        <w:tc>
          <w:tcPr>
            <w:tcW w:w="9099" w:type="dxa"/>
          </w:tcPr>
          <w:p w14:paraId="46E2E8C1" w14:textId="0DF5A857" w:rsidR="00F16C1A" w:rsidRPr="00306FB8" w:rsidRDefault="00F16C1A" w:rsidP="004D0D5B">
            <w:pPr>
              <w:pStyle w:val="liste1"/>
            </w:pPr>
            <w:r w:rsidRPr="00306FB8">
              <w:t xml:space="preserve">Populations </w:t>
            </w:r>
            <w:proofErr w:type="spellStart"/>
            <w:r w:rsidRPr="00306FB8">
              <w:t>clés</w:t>
            </w:r>
            <w:proofErr w:type="spellEnd"/>
            <w:r w:rsidRPr="00306FB8">
              <w:t xml:space="preserve"> (TS, HSH, UD, </w:t>
            </w:r>
            <w:proofErr w:type="spellStart"/>
            <w:r w:rsidR="004F3269" w:rsidRPr="00306FB8">
              <w:t>d</w:t>
            </w:r>
            <w:r w:rsidR="004D0D5B" w:rsidRPr="00306FB8">
              <w:t>é</w:t>
            </w:r>
            <w:r w:rsidRPr="00306FB8">
              <w:t>tenus</w:t>
            </w:r>
            <w:proofErr w:type="spellEnd"/>
            <w:r w:rsidR="007501BD">
              <w:t xml:space="preserve"> et TG</w:t>
            </w:r>
            <w:r w:rsidRPr="00306FB8">
              <w:t>)</w:t>
            </w:r>
          </w:p>
          <w:p w14:paraId="176824B5" w14:textId="0F498933" w:rsidR="0098274C" w:rsidRPr="00306FB8" w:rsidRDefault="00F16C1A" w:rsidP="004D0D5B">
            <w:pPr>
              <w:pStyle w:val="liste1"/>
            </w:pPr>
            <w:proofErr w:type="spellStart"/>
            <w:r w:rsidRPr="00306FB8">
              <w:t>Autres</w:t>
            </w:r>
            <w:proofErr w:type="spellEnd"/>
            <w:r w:rsidRPr="00306FB8">
              <w:t xml:space="preserve"> populations </w:t>
            </w:r>
            <w:proofErr w:type="spellStart"/>
            <w:r w:rsidRPr="00306FB8">
              <w:t>vulnérables</w:t>
            </w:r>
            <w:proofErr w:type="spellEnd"/>
            <w:r w:rsidRPr="00306FB8">
              <w:t xml:space="preserve"> (PVVIH, </w:t>
            </w:r>
            <w:r w:rsidR="004F3269" w:rsidRPr="00306FB8">
              <w:t>a</w:t>
            </w:r>
            <w:r w:rsidRPr="00306FB8">
              <w:t xml:space="preserve">dolescents et </w:t>
            </w:r>
            <w:proofErr w:type="spellStart"/>
            <w:r w:rsidRPr="00306FB8">
              <w:t>jeunes</w:t>
            </w:r>
            <w:proofErr w:type="spellEnd"/>
            <w:r w:rsidRPr="00306FB8">
              <w:t xml:space="preserve">, </w:t>
            </w:r>
            <w:proofErr w:type="spellStart"/>
            <w:r w:rsidRPr="00306FB8">
              <w:t>Personnes</w:t>
            </w:r>
            <w:proofErr w:type="spellEnd"/>
            <w:r w:rsidRPr="00306FB8">
              <w:t xml:space="preserve"> </w:t>
            </w:r>
            <w:proofErr w:type="spellStart"/>
            <w:r w:rsidRPr="00306FB8">
              <w:t>en</w:t>
            </w:r>
            <w:proofErr w:type="spellEnd"/>
            <w:r w:rsidRPr="00306FB8">
              <w:t xml:space="preserve"> </w:t>
            </w:r>
            <w:r w:rsidR="004F3269" w:rsidRPr="00306FB8">
              <w:t>S</w:t>
            </w:r>
            <w:r w:rsidRPr="00306FB8">
              <w:t>ituation d</w:t>
            </w:r>
            <w:r w:rsidR="004F3269" w:rsidRPr="00306FB8">
              <w:t xml:space="preserve">e </w:t>
            </w:r>
            <w:r w:rsidRPr="00306FB8">
              <w:t xml:space="preserve">Handicap, </w:t>
            </w:r>
            <w:r w:rsidR="004F3269" w:rsidRPr="00306FB8">
              <w:t>c</w:t>
            </w:r>
            <w:r w:rsidRPr="00306FB8">
              <w:t>lients TS</w:t>
            </w:r>
            <w:r w:rsidR="002E131A" w:rsidRPr="00306FB8">
              <w:t>, et</w:t>
            </w:r>
            <w:r w:rsidR="004F3269" w:rsidRPr="00306FB8">
              <w:t>c</w:t>
            </w:r>
            <w:r w:rsidR="002E131A" w:rsidRPr="00306FB8">
              <w:t>.</w:t>
            </w:r>
            <w:r w:rsidRPr="00306FB8">
              <w:t>)</w:t>
            </w:r>
          </w:p>
        </w:tc>
      </w:tr>
      <w:tr w:rsidR="0098274C" w:rsidRPr="0037522B" w14:paraId="0FE1DB00" w14:textId="77777777" w:rsidTr="007A0F0B">
        <w:trPr>
          <w:trHeight w:val="288"/>
        </w:trPr>
        <w:tc>
          <w:tcPr>
            <w:tcW w:w="1701" w:type="dxa"/>
            <w:shd w:val="clear" w:color="auto" w:fill="F2F2F2"/>
            <w:vAlign w:val="center"/>
          </w:tcPr>
          <w:p w14:paraId="0165920A" w14:textId="5E91C74D" w:rsidR="0098274C" w:rsidRDefault="008C7619" w:rsidP="00E80CEF">
            <w:pPr>
              <w:spacing w:after="0"/>
              <w:rPr>
                <w:b/>
              </w:rPr>
            </w:pPr>
            <w:r>
              <w:rPr>
                <w:b/>
                <w:lang w:bidi="fr-FR"/>
              </w:rPr>
              <w:t xml:space="preserve">Obstacles et </w:t>
            </w:r>
            <w:proofErr w:type="spellStart"/>
            <w:r>
              <w:rPr>
                <w:b/>
                <w:lang w:bidi="fr-FR"/>
              </w:rPr>
              <w:t>inégalités</w:t>
            </w:r>
            <w:proofErr w:type="spellEnd"/>
          </w:p>
        </w:tc>
        <w:tc>
          <w:tcPr>
            <w:tcW w:w="9099" w:type="dxa"/>
          </w:tcPr>
          <w:p w14:paraId="63380000" w14:textId="77777777" w:rsidR="006C01B0" w:rsidRDefault="00AD00CB" w:rsidP="00021113">
            <w:pPr>
              <w:pStyle w:val="Texteformulaire"/>
            </w:pPr>
            <w:r w:rsidRPr="00306FB8">
              <w:t xml:space="preserve">Chez les adolescents et </w:t>
            </w:r>
            <w:proofErr w:type="spellStart"/>
            <w:r w:rsidR="00CF42B2" w:rsidRPr="00021113">
              <w:t>j</w:t>
            </w:r>
            <w:r w:rsidRPr="00306FB8">
              <w:t>eunes</w:t>
            </w:r>
            <w:proofErr w:type="spellEnd"/>
            <w:r w:rsidRPr="00306FB8">
              <w:t xml:space="preserve">, les </w:t>
            </w:r>
            <w:proofErr w:type="spellStart"/>
            <w:r w:rsidRPr="00306FB8">
              <w:t>pesanteurs</w:t>
            </w:r>
            <w:proofErr w:type="spellEnd"/>
            <w:r w:rsidRPr="00306FB8">
              <w:t xml:space="preserve"> </w:t>
            </w:r>
            <w:proofErr w:type="spellStart"/>
            <w:r w:rsidRPr="00306FB8">
              <w:t>socioculturelles</w:t>
            </w:r>
            <w:proofErr w:type="spellEnd"/>
            <w:r w:rsidRPr="00306FB8">
              <w:t xml:space="preserve"> </w:t>
            </w:r>
            <w:proofErr w:type="spellStart"/>
            <w:r w:rsidRPr="00306FB8">
              <w:t>sont</w:t>
            </w:r>
            <w:proofErr w:type="spellEnd"/>
            <w:r w:rsidRPr="00306FB8">
              <w:t xml:space="preserve"> des obstacles </w:t>
            </w:r>
            <w:proofErr w:type="spellStart"/>
            <w:r w:rsidR="00021113" w:rsidRPr="00021113">
              <w:t>objectifs</w:t>
            </w:r>
            <w:proofErr w:type="spellEnd"/>
            <w:r w:rsidR="00021113" w:rsidRPr="00021113">
              <w:t xml:space="preserve"> </w:t>
            </w:r>
            <w:r w:rsidRPr="00306FB8">
              <w:t xml:space="preserve">à </w:t>
            </w:r>
            <w:proofErr w:type="spellStart"/>
            <w:r w:rsidRPr="00306FB8">
              <w:t>l’accès</w:t>
            </w:r>
            <w:proofErr w:type="spellEnd"/>
            <w:r w:rsidRPr="00306FB8">
              <w:t xml:space="preserve"> </w:t>
            </w:r>
            <w:r w:rsidR="00CF42B2" w:rsidRPr="00021113">
              <w:t>à</w:t>
            </w:r>
            <w:r w:rsidRPr="00021113">
              <w:t xml:space="preserve"> </w:t>
            </w:r>
            <w:proofErr w:type="spellStart"/>
            <w:r w:rsidR="00CF42B2" w:rsidRPr="00021113">
              <w:t>l’</w:t>
            </w:r>
            <w:r w:rsidRPr="00021113">
              <w:t>information</w:t>
            </w:r>
            <w:proofErr w:type="spellEnd"/>
            <w:r w:rsidRPr="00021113">
              <w:t xml:space="preserve"> </w:t>
            </w:r>
            <w:r w:rsidR="00CB2F86" w:rsidRPr="00021113">
              <w:t>sur la</w:t>
            </w:r>
            <w:r w:rsidRPr="00306FB8">
              <w:t xml:space="preserve"> </w:t>
            </w:r>
            <w:proofErr w:type="spellStart"/>
            <w:r w:rsidRPr="00306FB8">
              <w:t>prévention</w:t>
            </w:r>
            <w:proofErr w:type="spellEnd"/>
            <w:r w:rsidR="00CF42B2" w:rsidRPr="00306FB8">
              <w:t xml:space="preserve"> </w:t>
            </w:r>
            <w:r w:rsidR="00CF42B2" w:rsidRPr="00021113">
              <w:t>du VIH et des IST,</w:t>
            </w:r>
            <w:r w:rsidR="00021113" w:rsidRPr="00021113">
              <w:t xml:space="preserve"> </w:t>
            </w:r>
            <w:proofErr w:type="spellStart"/>
            <w:r w:rsidR="00021113" w:rsidRPr="00021113">
              <w:t>comme</w:t>
            </w:r>
            <w:proofErr w:type="spellEnd"/>
            <w:r w:rsidR="00021113" w:rsidRPr="00021113">
              <w:t xml:space="preserve"> sur la </w:t>
            </w:r>
            <w:r w:rsidRPr="00306FB8">
              <w:t>SSR</w:t>
            </w:r>
            <w:r w:rsidR="00021113" w:rsidRPr="00021113">
              <w:t xml:space="preserve"> </w:t>
            </w:r>
            <w:proofErr w:type="spellStart"/>
            <w:r w:rsidR="00021113" w:rsidRPr="00021113">
              <w:t>en</w:t>
            </w:r>
            <w:proofErr w:type="spellEnd"/>
            <w:r w:rsidR="00021113" w:rsidRPr="00021113">
              <w:t xml:space="preserve"> </w:t>
            </w:r>
            <w:proofErr w:type="spellStart"/>
            <w:r w:rsidR="00021113" w:rsidRPr="00021113">
              <w:t>général</w:t>
            </w:r>
            <w:proofErr w:type="spellEnd"/>
            <w:r w:rsidR="00021113" w:rsidRPr="00021113">
              <w:t>.</w:t>
            </w:r>
            <w:r w:rsidRPr="00306FB8">
              <w:t xml:space="preserve"> </w:t>
            </w:r>
            <w:proofErr w:type="spellStart"/>
            <w:r w:rsidR="00021113" w:rsidRPr="00021113">
              <w:t>L</w:t>
            </w:r>
            <w:r w:rsidRPr="00306FB8">
              <w:t>’inadaptation</w:t>
            </w:r>
            <w:proofErr w:type="spellEnd"/>
            <w:r w:rsidRPr="00306FB8">
              <w:t xml:space="preserve"> des services de santé </w:t>
            </w:r>
            <w:proofErr w:type="spellStart"/>
            <w:r w:rsidRPr="00306FB8">
              <w:t>classiques</w:t>
            </w:r>
            <w:proofErr w:type="spellEnd"/>
            <w:r w:rsidRPr="00306FB8">
              <w:t xml:space="preserve"> </w:t>
            </w:r>
            <w:r w:rsidR="00021113" w:rsidRPr="00021113">
              <w:t xml:space="preserve">aux </w:t>
            </w:r>
            <w:proofErr w:type="spellStart"/>
            <w:r w:rsidR="00021113" w:rsidRPr="00021113">
              <w:t>besoins</w:t>
            </w:r>
            <w:proofErr w:type="spellEnd"/>
            <w:r w:rsidR="00021113" w:rsidRPr="00021113">
              <w:t xml:space="preserve"> d</w:t>
            </w:r>
            <w:r w:rsidRPr="00021113">
              <w:t>es</w:t>
            </w:r>
            <w:r w:rsidRPr="00306FB8">
              <w:t xml:space="preserve"> adolescents et </w:t>
            </w:r>
            <w:proofErr w:type="spellStart"/>
            <w:r w:rsidRPr="00306FB8">
              <w:t>jeunes</w:t>
            </w:r>
            <w:proofErr w:type="spellEnd"/>
            <w:r w:rsidR="00021113" w:rsidRPr="00021113">
              <w:t xml:space="preserve"> </w:t>
            </w:r>
            <w:proofErr w:type="spellStart"/>
            <w:r w:rsidR="00021113" w:rsidRPr="00021113">
              <w:t>constitue</w:t>
            </w:r>
            <w:proofErr w:type="spellEnd"/>
            <w:r w:rsidR="00021113" w:rsidRPr="00021113">
              <w:t xml:space="preserve"> </w:t>
            </w:r>
            <w:proofErr w:type="spellStart"/>
            <w:r w:rsidR="00021113" w:rsidRPr="00021113">
              <w:t>également</w:t>
            </w:r>
            <w:proofErr w:type="spellEnd"/>
            <w:r w:rsidR="00021113" w:rsidRPr="00021113">
              <w:t xml:space="preserve"> un obstacle à </w:t>
            </w:r>
            <w:proofErr w:type="spellStart"/>
            <w:r w:rsidR="00021113" w:rsidRPr="00021113">
              <w:t>l’accès</w:t>
            </w:r>
            <w:proofErr w:type="spellEnd"/>
            <w:r w:rsidR="00021113" w:rsidRPr="00021113">
              <w:t xml:space="preserve"> aux services</w:t>
            </w:r>
            <w:r w:rsidR="00CF42B2" w:rsidRPr="00021113">
              <w:t>.</w:t>
            </w:r>
            <w:r w:rsidR="00021113" w:rsidRPr="00021113">
              <w:t xml:space="preserve"> </w:t>
            </w:r>
          </w:p>
          <w:p w14:paraId="0207D7C5" w14:textId="24762361" w:rsidR="00AD00CB" w:rsidRPr="00306FB8" w:rsidRDefault="00021113" w:rsidP="00021113">
            <w:pPr>
              <w:pStyle w:val="Texteformulaire"/>
            </w:pPr>
            <w:r w:rsidRPr="00021113">
              <w:t xml:space="preserve">Pour les </w:t>
            </w:r>
            <w:proofErr w:type="spellStart"/>
            <w:r w:rsidRPr="00021113">
              <w:t>jeunes</w:t>
            </w:r>
            <w:proofErr w:type="spellEnd"/>
            <w:r w:rsidRPr="00021113">
              <w:t xml:space="preserve"> </w:t>
            </w:r>
            <w:proofErr w:type="spellStart"/>
            <w:r w:rsidRPr="00021113">
              <w:t>filles</w:t>
            </w:r>
            <w:proofErr w:type="spellEnd"/>
            <w:r w:rsidRPr="00021113">
              <w:t xml:space="preserve"> et femmes, </w:t>
            </w:r>
            <w:proofErr w:type="spellStart"/>
            <w:r w:rsidRPr="00021113">
              <w:t>ces</w:t>
            </w:r>
            <w:proofErr w:type="spellEnd"/>
            <w:r w:rsidRPr="00021113">
              <w:t xml:space="preserve"> obstacle se </w:t>
            </w:r>
            <w:proofErr w:type="spellStart"/>
            <w:r w:rsidRPr="00021113">
              <w:t>conjuguent</w:t>
            </w:r>
            <w:proofErr w:type="spellEnd"/>
            <w:r w:rsidRPr="00021113">
              <w:t xml:space="preserve"> </w:t>
            </w:r>
            <w:r w:rsidRPr="006C01B0">
              <w:t xml:space="preserve">avec les </w:t>
            </w:r>
            <w:proofErr w:type="spellStart"/>
            <w:r w:rsidR="00CF42B2" w:rsidRPr="006C01B0">
              <w:t>violence</w:t>
            </w:r>
            <w:r w:rsidRPr="006C01B0">
              <w:t>s</w:t>
            </w:r>
            <w:proofErr w:type="spellEnd"/>
            <w:r w:rsidRPr="006C01B0">
              <w:t xml:space="preserve"> </w:t>
            </w:r>
            <w:proofErr w:type="spellStart"/>
            <w:r w:rsidRPr="006C01B0">
              <w:t>basées</w:t>
            </w:r>
            <w:proofErr w:type="spellEnd"/>
            <w:r w:rsidRPr="006C01B0">
              <w:t xml:space="preserve"> sur le genre</w:t>
            </w:r>
            <w:r w:rsidR="00CF42B2" w:rsidRPr="006C01B0">
              <w:t xml:space="preserve">, la </w:t>
            </w:r>
            <w:proofErr w:type="spellStart"/>
            <w:r w:rsidR="00CF42B2" w:rsidRPr="006C01B0">
              <w:t>pauvreté</w:t>
            </w:r>
            <w:proofErr w:type="spellEnd"/>
            <w:r w:rsidRPr="006C01B0">
              <w:t xml:space="preserve">, les rapports </w:t>
            </w:r>
            <w:proofErr w:type="spellStart"/>
            <w:r w:rsidRPr="006C01B0">
              <w:t>sexuels</w:t>
            </w:r>
            <w:proofErr w:type="spellEnd"/>
            <w:r w:rsidRPr="006C01B0">
              <w:t xml:space="preserve"> </w:t>
            </w:r>
            <w:proofErr w:type="spellStart"/>
            <w:r w:rsidRPr="006C01B0">
              <w:t>intergénérationnels</w:t>
            </w:r>
            <w:proofErr w:type="spellEnd"/>
            <w:r w:rsidRPr="006C01B0">
              <w:t xml:space="preserve"> et le </w:t>
            </w:r>
            <w:r w:rsidR="006C01B0" w:rsidRPr="006C01B0">
              <w:t xml:space="preserve">commerce du </w:t>
            </w:r>
            <w:proofErr w:type="spellStart"/>
            <w:r w:rsidR="00CF42B2" w:rsidRPr="006C01B0">
              <w:t>sexe</w:t>
            </w:r>
            <w:proofErr w:type="spellEnd"/>
            <w:r w:rsidRPr="006C01B0">
              <w:t>.</w:t>
            </w:r>
            <w:r w:rsidRPr="00306FB8">
              <w:t xml:space="preserve"> </w:t>
            </w:r>
          </w:p>
          <w:p w14:paraId="75B8E894" w14:textId="51BF5E5D" w:rsidR="00CF42B2" w:rsidRPr="00306FB8" w:rsidRDefault="00CF42B2">
            <w:pPr>
              <w:pStyle w:val="Texteformulaire"/>
            </w:pPr>
            <w:proofErr w:type="spellStart"/>
            <w:r w:rsidRPr="00021113">
              <w:t>l’attitude</w:t>
            </w:r>
            <w:proofErr w:type="spellEnd"/>
            <w:r w:rsidRPr="00021113">
              <w:t xml:space="preserve"> des </w:t>
            </w:r>
            <w:proofErr w:type="spellStart"/>
            <w:r w:rsidRPr="00021113">
              <w:t>prestataires</w:t>
            </w:r>
            <w:proofErr w:type="spellEnd"/>
            <w:r w:rsidRPr="00021113">
              <w:t xml:space="preserve">, la discrimination, la </w:t>
            </w:r>
            <w:proofErr w:type="spellStart"/>
            <w:r w:rsidRPr="00021113">
              <w:t>stimatisation</w:t>
            </w:r>
            <w:proofErr w:type="spellEnd"/>
            <w:r w:rsidRPr="00021113">
              <w:t xml:space="preserve"> et </w:t>
            </w:r>
            <w:proofErr w:type="spellStart"/>
            <w:r w:rsidRPr="00021113">
              <w:t>l’absence</w:t>
            </w:r>
            <w:proofErr w:type="spellEnd"/>
            <w:r w:rsidRPr="00021113">
              <w:t xml:space="preserve"> de </w:t>
            </w:r>
            <w:proofErr w:type="spellStart"/>
            <w:r w:rsidRPr="00021113">
              <w:t>confidentialité</w:t>
            </w:r>
            <w:proofErr w:type="spellEnd"/>
            <w:r w:rsidRPr="00021113">
              <w:t xml:space="preserve"> qui constituent </w:t>
            </w:r>
            <w:proofErr w:type="spellStart"/>
            <w:r w:rsidRPr="00021113">
              <w:t>aussi</w:t>
            </w:r>
            <w:proofErr w:type="spellEnd"/>
            <w:r w:rsidRPr="00021113">
              <w:t xml:space="preserve"> des </w:t>
            </w:r>
            <w:proofErr w:type="spellStart"/>
            <w:r w:rsidRPr="00021113">
              <w:t>obstables</w:t>
            </w:r>
            <w:proofErr w:type="spellEnd"/>
            <w:r w:rsidRPr="00021113">
              <w:t xml:space="preserve"> à </w:t>
            </w:r>
            <w:proofErr w:type="spellStart"/>
            <w:r w:rsidRPr="00021113">
              <w:t>l’accès</w:t>
            </w:r>
            <w:proofErr w:type="spellEnd"/>
            <w:r w:rsidRPr="00021113">
              <w:t xml:space="preserve"> et </w:t>
            </w:r>
            <w:proofErr w:type="spellStart"/>
            <w:r w:rsidRPr="00021113">
              <w:t>l’utilisation</w:t>
            </w:r>
            <w:proofErr w:type="spellEnd"/>
            <w:r w:rsidRPr="00021113">
              <w:t xml:space="preserve"> des </w:t>
            </w:r>
            <w:proofErr w:type="spellStart"/>
            <w:r w:rsidRPr="00021113">
              <w:t>des</w:t>
            </w:r>
            <w:proofErr w:type="spellEnd"/>
            <w:r w:rsidRPr="00021113">
              <w:t xml:space="preserve"> services par les adolescents et </w:t>
            </w:r>
            <w:proofErr w:type="spellStart"/>
            <w:r w:rsidRPr="00021113">
              <w:t>jeunes</w:t>
            </w:r>
            <w:proofErr w:type="spellEnd"/>
          </w:p>
          <w:p w14:paraId="01ED55C5" w14:textId="16CB103C" w:rsidR="00AD00CB" w:rsidRPr="00CE5EA9" w:rsidRDefault="00AD00CB" w:rsidP="005010EE">
            <w:pPr>
              <w:pStyle w:val="Texteformulaire"/>
              <w:rPr>
                <w:lang w:val="fr-FR"/>
              </w:rPr>
            </w:pPr>
            <w:r w:rsidRPr="00CE5EA9">
              <w:rPr>
                <w:lang w:val="fr-FR"/>
              </w:rPr>
              <w:t>La mise en œuvre effective de l’ECS, la réorganisation de certains services de santé pour les rendre plus conviviaux y compris la formation des prestataires de santé aux questions spécifique</w:t>
            </w:r>
            <w:r w:rsidR="00D37556">
              <w:rPr>
                <w:lang w:val="fr-FR"/>
              </w:rPr>
              <w:t>s</w:t>
            </w:r>
            <w:r w:rsidRPr="00CE5EA9">
              <w:rPr>
                <w:lang w:val="fr-FR"/>
              </w:rPr>
              <w:t xml:space="preserve"> des jeunes</w:t>
            </w:r>
            <w:r w:rsidR="00D37556">
              <w:rPr>
                <w:lang w:val="fr-FR"/>
              </w:rPr>
              <w:t>, et</w:t>
            </w:r>
            <w:r w:rsidRPr="00CE5EA9">
              <w:rPr>
                <w:lang w:val="fr-FR"/>
              </w:rPr>
              <w:t xml:space="preserve"> enfin la gratuité pour certains services comme la prise en charge des IST devraient permettre d’atténuer ces inégalités</w:t>
            </w:r>
          </w:p>
          <w:p w14:paraId="46F21796" w14:textId="5BECEA66" w:rsidR="006C01B0" w:rsidRDefault="00DC6424" w:rsidP="005010EE">
            <w:pPr>
              <w:pStyle w:val="Texteformulaire"/>
              <w:rPr>
                <w:lang w:val="fr-FR"/>
              </w:rPr>
            </w:pPr>
            <w:r>
              <w:rPr>
                <w:lang w:val="fr-FR"/>
              </w:rPr>
              <w:t>Dans</w:t>
            </w:r>
            <w:r w:rsidRPr="00CE5EA9">
              <w:rPr>
                <w:lang w:val="fr-FR"/>
              </w:rPr>
              <w:t xml:space="preserve"> </w:t>
            </w:r>
            <w:r w:rsidR="00AD00CB" w:rsidRPr="00CE5EA9">
              <w:rPr>
                <w:lang w:val="fr-FR"/>
              </w:rPr>
              <w:t xml:space="preserve">les populations clés persistent encore la stigmatisation et la discrimination (40,4% à l’égard des </w:t>
            </w:r>
            <w:r w:rsidR="006C01B0">
              <w:rPr>
                <w:lang w:val="fr-FR"/>
              </w:rPr>
              <w:t>PVVIH dans l’</w:t>
            </w:r>
            <w:r w:rsidR="00AD00CB" w:rsidRPr="00CE5EA9">
              <w:rPr>
                <w:lang w:val="fr-FR"/>
              </w:rPr>
              <w:t>ind</w:t>
            </w:r>
            <w:r>
              <w:rPr>
                <w:lang w:val="fr-FR"/>
              </w:rPr>
              <w:t>ice</w:t>
            </w:r>
            <w:r w:rsidR="00AD00CB" w:rsidRPr="00CE5EA9">
              <w:rPr>
                <w:lang w:val="fr-FR"/>
              </w:rPr>
              <w:t xml:space="preserve"> de </w:t>
            </w:r>
            <w:r>
              <w:rPr>
                <w:lang w:val="fr-FR"/>
              </w:rPr>
              <w:t>s</w:t>
            </w:r>
            <w:r w:rsidR="00AD00CB" w:rsidRPr="00CE5EA9">
              <w:rPr>
                <w:lang w:val="fr-FR"/>
              </w:rPr>
              <w:t>tigmatisation 2016)</w:t>
            </w:r>
            <w:r w:rsidR="00F51D57">
              <w:rPr>
                <w:lang w:val="fr-FR"/>
              </w:rPr>
              <w:t xml:space="preserve"> </w:t>
            </w:r>
            <w:r w:rsidR="0002374C" w:rsidRPr="0002374C">
              <w:rPr>
                <w:i/>
              </w:rPr>
              <w:t>(</w:t>
            </w:r>
            <w:proofErr w:type="spellStart"/>
            <w:r w:rsidR="0002374C" w:rsidRPr="0002374C">
              <w:rPr>
                <w:i/>
              </w:rPr>
              <w:t>Annexe</w:t>
            </w:r>
            <w:proofErr w:type="spellEnd"/>
            <w:r w:rsidR="0002374C" w:rsidRPr="0002374C">
              <w:rPr>
                <w:i/>
              </w:rPr>
              <w:t xml:space="preserve"> </w:t>
            </w:r>
            <w:r w:rsidR="0002374C">
              <w:rPr>
                <w:i/>
              </w:rPr>
              <w:t>18</w:t>
            </w:r>
            <w:r w:rsidR="0002374C" w:rsidRPr="0002374C">
              <w:rPr>
                <w:i/>
              </w:rPr>
              <w:t>)</w:t>
            </w:r>
            <w:r w:rsidR="00AD00CB" w:rsidRPr="00CE5EA9">
              <w:rPr>
                <w:lang w:val="fr-FR"/>
              </w:rPr>
              <w:t>, il en est de même pour le harcèlement</w:t>
            </w:r>
            <w:r>
              <w:rPr>
                <w:lang w:val="fr-FR"/>
              </w:rPr>
              <w:t>,</w:t>
            </w:r>
            <w:r w:rsidR="00AD00CB" w:rsidRPr="00CE5EA9">
              <w:rPr>
                <w:lang w:val="fr-FR"/>
              </w:rPr>
              <w:t xml:space="preserve"> les violences</w:t>
            </w:r>
            <w:r>
              <w:rPr>
                <w:lang w:val="fr-FR"/>
              </w:rPr>
              <w:t xml:space="preserve"> et les abus de</w:t>
            </w:r>
            <w:r w:rsidR="00AD00CB" w:rsidRPr="00CE5EA9">
              <w:rPr>
                <w:lang w:val="fr-FR"/>
              </w:rPr>
              <w:t xml:space="preserve"> droits</w:t>
            </w:r>
            <w:r>
              <w:rPr>
                <w:lang w:val="fr-FR"/>
              </w:rPr>
              <w:t>.</w:t>
            </w:r>
            <w:r w:rsidR="00AD00CB" w:rsidRPr="00CE5EA9">
              <w:rPr>
                <w:lang w:val="fr-FR"/>
              </w:rPr>
              <w:t xml:space="preserve"> Tous ces éléments constituent des obstacles à l’accès aux services de base accentuant ainsi la vulnérabilité des </w:t>
            </w:r>
            <w:proofErr w:type="spellStart"/>
            <w:r>
              <w:rPr>
                <w:lang w:val="fr-FR"/>
              </w:rPr>
              <w:t>KPs</w:t>
            </w:r>
            <w:proofErr w:type="spellEnd"/>
            <w:r w:rsidR="00AD00CB" w:rsidRPr="00CE5EA9">
              <w:rPr>
                <w:lang w:val="fr-FR"/>
              </w:rPr>
              <w:t xml:space="preserve">. </w:t>
            </w:r>
          </w:p>
          <w:p w14:paraId="090018B3" w14:textId="65BE0E9C" w:rsidR="00AD00CB" w:rsidRPr="00CE5EA9" w:rsidRDefault="00AD00CB" w:rsidP="005010EE">
            <w:pPr>
              <w:pStyle w:val="Texteformulaire"/>
              <w:rPr>
                <w:lang w:val="fr-FR"/>
              </w:rPr>
            </w:pPr>
            <w:r w:rsidRPr="00CE5EA9">
              <w:rPr>
                <w:lang w:val="fr-FR"/>
              </w:rPr>
              <w:t xml:space="preserve">Les mesures préconisées pour </w:t>
            </w:r>
            <w:r w:rsidR="006C01B0">
              <w:rPr>
                <w:lang w:val="fr-FR"/>
              </w:rPr>
              <w:t>surmonter</w:t>
            </w:r>
            <w:r w:rsidR="006C01B0" w:rsidRPr="00CE5EA9">
              <w:rPr>
                <w:lang w:val="fr-FR"/>
              </w:rPr>
              <w:t xml:space="preserve"> </w:t>
            </w:r>
            <w:r w:rsidRPr="00CE5EA9">
              <w:rPr>
                <w:lang w:val="fr-FR"/>
              </w:rPr>
              <w:t>ces obstacles sont entre autres</w:t>
            </w:r>
            <w:r w:rsidR="00D37556">
              <w:rPr>
                <w:lang w:val="fr-FR"/>
              </w:rPr>
              <w:t> :</w:t>
            </w:r>
            <w:r w:rsidRPr="00CE5EA9">
              <w:rPr>
                <w:lang w:val="fr-FR"/>
              </w:rPr>
              <w:t xml:space="preserve"> </w:t>
            </w:r>
          </w:p>
          <w:p w14:paraId="63C042FE" w14:textId="6B52D5FA" w:rsidR="00AD00CB" w:rsidRPr="00306FB8" w:rsidRDefault="001E433A" w:rsidP="004D0D5B">
            <w:pPr>
              <w:pStyle w:val="liste1"/>
            </w:pPr>
            <w:proofErr w:type="spellStart"/>
            <w:r w:rsidRPr="00306FB8">
              <w:t>L</w:t>
            </w:r>
            <w:r w:rsidR="00AD00CB" w:rsidRPr="00306FB8">
              <w:t>’augmentation</w:t>
            </w:r>
            <w:proofErr w:type="spellEnd"/>
            <w:r w:rsidR="00AD00CB" w:rsidRPr="00306FB8">
              <w:t xml:space="preserve"> du </w:t>
            </w:r>
            <w:proofErr w:type="spellStart"/>
            <w:r w:rsidR="00AD00CB" w:rsidRPr="00306FB8">
              <w:t>nombre</w:t>
            </w:r>
            <w:proofErr w:type="spellEnd"/>
            <w:r w:rsidR="00AD00CB" w:rsidRPr="00306FB8">
              <w:t xml:space="preserve"> de sites </w:t>
            </w:r>
            <w:r w:rsidR="00A471F2" w:rsidRPr="00306FB8">
              <w:t xml:space="preserve">“KPs’ </w:t>
            </w:r>
            <w:r w:rsidR="00AD00CB" w:rsidRPr="00306FB8">
              <w:t>friendly</w:t>
            </w:r>
            <w:r w:rsidR="00A471F2" w:rsidRPr="00306FB8">
              <w:t>”</w:t>
            </w:r>
            <w:r w:rsidR="00AD00CB" w:rsidRPr="00306FB8">
              <w:t xml:space="preserve"> (structures de santé </w:t>
            </w:r>
            <w:proofErr w:type="spellStart"/>
            <w:r w:rsidR="00AD00CB" w:rsidRPr="00306FB8">
              <w:t>publiques</w:t>
            </w:r>
            <w:proofErr w:type="spellEnd"/>
            <w:r w:rsidR="00AD00CB" w:rsidRPr="00306FB8">
              <w:t xml:space="preserve"> </w:t>
            </w:r>
            <w:proofErr w:type="spellStart"/>
            <w:r w:rsidR="00AD00CB" w:rsidRPr="00306FB8">
              <w:t>intégrant</w:t>
            </w:r>
            <w:proofErr w:type="spellEnd"/>
            <w:r w:rsidR="00AD00CB" w:rsidRPr="00306FB8">
              <w:t xml:space="preserve"> la </w:t>
            </w:r>
            <w:proofErr w:type="spellStart"/>
            <w:r w:rsidR="00AD00CB" w:rsidRPr="00306FB8">
              <w:t>prise</w:t>
            </w:r>
            <w:proofErr w:type="spellEnd"/>
            <w:r w:rsidR="00AD00CB" w:rsidRPr="00306FB8">
              <w:t xml:space="preserve"> </w:t>
            </w:r>
            <w:proofErr w:type="spellStart"/>
            <w:r w:rsidR="00AD00CB" w:rsidRPr="00306FB8">
              <w:t>en</w:t>
            </w:r>
            <w:proofErr w:type="spellEnd"/>
            <w:r w:rsidR="00AD00CB" w:rsidRPr="00306FB8">
              <w:t xml:space="preserve"> charge des populations </w:t>
            </w:r>
            <w:proofErr w:type="spellStart"/>
            <w:r w:rsidR="00AD00CB" w:rsidRPr="00306FB8">
              <w:t>clés</w:t>
            </w:r>
            <w:proofErr w:type="spellEnd"/>
            <w:r w:rsidR="00AD00CB" w:rsidRPr="00306FB8">
              <w:t xml:space="preserve">) qui </w:t>
            </w:r>
            <w:proofErr w:type="spellStart"/>
            <w:r w:rsidR="00AD00CB" w:rsidRPr="00306FB8">
              <w:t>prend</w:t>
            </w:r>
            <w:proofErr w:type="spellEnd"/>
            <w:r w:rsidR="00AD00CB" w:rsidRPr="00306FB8">
              <w:t xml:space="preserve"> </w:t>
            </w:r>
            <w:proofErr w:type="spellStart"/>
            <w:r w:rsidR="00AD00CB" w:rsidRPr="00306FB8">
              <w:t>en</w:t>
            </w:r>
            <w:proofErr w:type="spellEnd"/>
            <w:r w:rsidR="00AD00CB" w:rsidRPr="00306FB8">
              <w:t xml:space="preserve"> </w:t>
            </w:r>
            <w:proofErr w:type="spellStart"/>
            <w:r w:rsidR="00AD00CB" w:rsidRPr="00306FB8">
              <w:t>compte</w:t>
            </w:r>
            <w:proofErr w:type="spellEnd"/>
            <w:r w:rsidR="00AD00CB" w:rsidRPr="00306FB8">
              <w:t xml:space="preserve"> la formation des </w:t>
            </w:r>
            <w:proofErr w:type="spellStart"/>
            <w:r w:rsidR="00AD00CB" w:rsidRPr="00306FB8">
              <w:t>prestataires</w:t>
            </w:r>
            <w:proofErr w:type="spellEnd"/>
            <w:r w:rsidR="00AD00CB" w:rsidRPr="00306FB8">
              <w:t xml:space="preserve"> de santé sur les droits des populations </w:t>
            </w:r>
            <w:proofErr w:type="spellStart"/>
            <w:r w:rsidR="00AD00CB" w:rsidRPr="00306FB8">
              <w:t>clés</w:t>
            </w:r>
            <w:proofErr w:type="spellEnd"/>
          </w:p>
          <w:p w14:paraId="6EA7F1EC" w14:textId="391BD845" w:rsidR="00AD00CB" w:rsidRPr="00306FB8" w:rsidRDefault="00AD00CB" w:rsidP="004D0D5B">
            <w:pPr>
              <w:pStyle w:val="liste1"/>
            </w:pPr>
            <w:proofErr w:type="spellStart"/>
            <w:r w:rsidRPr="00306FB8">
              <w:t>L’intensification</w:t>
            </w:r>
            <w:proofErr w:type="spellEnd"/>
            <w:r w:rsidRPr="00306FB8">
              <w:t xml:space="preserve"> des </w:t>
            </w:r>
            <w:proofErr w:type="spellStart"/>
            <w:r w:rsidRPr="00306FB8">
              <w:t>stratégies</w:t>
            </w:r>
            <w:proofErr w:type="spellEnd"/>
            <w:r w:rsidRPr="00306FB8">
              <w:t xml:space="preserve"> mobiles et </w:t>
            </w:r>
            <w:proofErr w:type="spellStart"/>
            <w:r w:rsidRPr="00306FB8">
              <w:t>activités</w:t>
            </w:r>
            <w:proofErr w:type="spellEnd"/>
            <w:r w:rsidRPr="00306FB8">
              <w:t xml:space="preserve"> </w:t>
            </w:r>
            <w:proofErr w:type="spellStart"/>
            <w:r w:rsidRPr="00306FB8">
              <w:t>ludiques</w:t>
            </w:r>
            <w:proofErr w:type="spellEnd"/>
            <w:r w:rsidRPr="00306FB8">
              <w:t xml:space="preserve"> les </w:t>
            </w:r>
            <w:proofErr w:type="spellStart"/>
            <w:r w:rsidRPr="00306FB8">
              <w:t>regroupant</w:t>
            </w:r>
            <w:proofErr w:type="spellEnd"/>
            <w:r w:rsidRPr="00306FB8">
              <w:t xml:space="preserve"> pour </w:t>
            </w:r>
            <w:proofErr w:type="spellStart"/>
            <w:r w:rsidRPr="00306FB8">
              <w:t>en</w:t>
            </w:r>
            <w:proofErr w:type="spellEnd"/>
            <w:r w:rsidRPr="00306FB8">
              <w:t xml:space="preserve"> toucher </w:t>
            </w:r>
            <w:proofErr w:type="spellStart"/>
            <w:r w:rsidRPr="00306FB8">
              <w:t>davantage</w:t>
            </w:r>
            <w:proofErr w:type="spellEnd"/>
          </w:p>
          <w:p w14:paraId="2A6EFAF5" w14:textId="7D1E1BA1" w:rsidR="0098274C" w:rsidRDefault="00AD00CB" w:rsidP="004D0D5B">
            <w:pPr>
              <w:pStyle w:val="liste1"/>
            </w:pPr>
            <w:r w:rsidRPr="00306FB8">
              <w:t xml:space="preserve">La </w:t>
            </w:r>
            <w:proofErr w:type="spellStart"/>
            <w:r w:rsidRPr="00306FB8">
              <w:t>sensibilisation</w:t>
            </w:r>
            <w:proofErr w:type="spellEnd"/>
            <w:r w:rsidRPr="00306FB8">
              <w:t xml:space="preserve"> à travers les </w:t>
            </w:r>
            <w:proofErr w:type="spellStart"/>
            <w:r w:rsidRPr="00306FB8">
              <w:t>réseaux</w:t>
            </w:r>
            <w:proofErr w:type="spellEnd"/>
            <w:r w:rsidRPr="00306FB8">
              <w:t xml:space="preserve"> des populations </w:t>
            </w:r>
            <w:proofErr w:type="spellStart"/>
            <w:r w:rsidRPr="00306FB8">
              <w:t>clés</w:t>
            </w:r>
            <w:proofErr w:type="spellEnd"/>
            <w:r w:rsidRPr="00306FB8">
              <w:t xml:space="preserve"> </w:t>
            </w:r>
            <w:r w:rsidR="006C01B0">
              <w:t>(</w:t>
            </w:r>
            <w:proofErr w:type="spellStart"/>
            <w:r w:rsidR="006C01B0">
              <w:t>plateformes</w:t>
            </w:r>
            <w:proofErr w:type="spellEnd"/>
            <w:r w:rsidR="006C01B0">
              <w:t xml:space="preserve"> et </w:t>
            </w:r>
            <w:proofErr w:type="spellStart"/>
            <w:r w:rsidR="006C01B0">
              <w:t>réseaux</w:t>
            </w:r>
            <w:proofErr w:type="spellEnd"/>
            <w:r w:rsidR="006C01B0">
              <w:t xml:space="preserve"> </w:t>
            </w:r>
            <w:proofErr w:type="spellStart"/>
            <w:r w:rsidR="006C01B0">
              <w:t>sociaux</w:t>
            </w:r>
            <w:proofErr w:type="spellEnd"/>
            <w:r w:rsidR="006C01B0">
              <w:t xml:space="preserve"> </w:t>
            </w:r>
            <w:proofErr w:type="spellStart"/>
            <w:r w:rsidR="006C01B0">
              <w:t>virtuels</w:t>
            </w:r>
            <w:proofErr w:type="spellEnd"/>
            <w:r w:rsidR="006C01B0">
              <w:t xml:space="preserve"> de rencontre et </w:t>
            </w:r>
            <w:proofErr w:type="spellStart"/>
            <w:r w:rsidR="006C01B0">
              <w:t>d’information</w:t>
            </w:r>
            <w:proofErr w:type="spellEnd"/>
            <w:r w:rsidR="006C01B0">
              <w:t>)</w:t>
            </w:r>
          </w:p>
          <w:p w14:paraId="30A04773" w14:textId="38538CB1" w:rsidR="00CB2F86" w:rsidRPr="00306FB8" w:rsidRDefault="00DC6424" w:rsidP="004D0D5B">
            <w:pPr>
              <w:pStyle w:val="liste1"/>
            </w:pPr>
            <w:r>
              <w:t xml:space="preserve">Le </w:t>
            </w:r>
            <w:proofErr w:type="spellStart"/>
            <w:r>
              <w:t>r</w:t>
            </w:r>
            <w:r w:rsidR="00CB2F86">
              <w:t>enforcement</w:t>
            </w:r>
            <w:proofErr w:type="spellEnd"/>
            <w:r w:rsidR="00CB2F86">
              <w:t xml:space="preserve"> des </w:t>
            </w:r>
            <w:proofErr w:type="spellStart"/>
            <w:r w:rsidR="00CB2F86">
              <w:t>capacités</w:t>
            </w:r>
            <w:proofErr w:type="spellEnd"/>
            <w:r w:rsidR="00CB2F86">
              <w:t xml:space="preserve"> des </w:t>
            </w:r>
            <w:proofErr w:type="spellStart"/>
            <w:r w:rsidR="00CB2F86">
              <w:t>prestataires</w:t>
            </w:r>
            <w:proofErr w:type="spellEnd"/>
            <w:r w:rsidR="00CB2F86">
              <w:t xml:space="preserve"> sur </w:t>
            </w:r>
            <w:proofErr w:type="spellStart"/>
            <w:r w:rsidR="00F87C27">
              <w:t>l’offre</w:t>
            </w:r>
            <w:proofErr w:type="spellEnd"/>
            <w:r w:rsidR="00F87C27">
              <w:t xml:space="preserve"> de services </w:t>
            </w:r>
            <w:proofErr w:type="spellStart"/>
            <w:r w:rsidR="00F87C27">
              <w:t>adapté</w:t>
            </w:r>
            <w:r w:rsidR="006C01B0">
              <w:t>e</w:t>
            </w:r>
            <w:proofErr w:type="spellEnd"/>
            <w:r w:rsidR="00F87C27">
              <w:t xml:space="preserve"> aux </w:t>
            </w:r>
            <w:proofErr w:type="spellStart"/>
            <w:r w:rsidR="00F87C27">
              <w:t>besoins</w:t>
            </w:r>
            <w:proofErr w:type="spellEnd"/>
            <w:r w:rsidR="00F87C27">
              <w:t xml:space="preserve"> </w:t>
            </w:r>
            <w:proofErr w:type="spellStart"/>
            <w:r w:rsidR="00F87C27">
              <w:t>spécifiques</w:t>
            </w:r>
            <w:proofErr w:type="spellEnd"/>
            <w:r w:rsidR="00F87C27">
              <w:t xml:space="preserve"> des adolescents et </w:t>
            </w:r>
            <w:proofErr w:type="spellStart"/>
            <w:r w:rsidR="00F87C27">
              <w:t>jeunes</w:t>
            </w:r>
            <w:proofErr w:type="spellEnd"/>
            <w:r w:rsidR="00F87C27">
              <w:t>.</w:t>
            </w:r>
          </w:p>
        </w:tc>
      </w:tr>
      <w:tr w:rsidR="000D0B32" w:rsidRPr="0037522B" w14:paraId="58156A59" w14:textId="77777777" w:rsidTr="007A0F0B">
        <w:trPr>
          <w:trHeight w:val="288"/>
        </w:trPr>
        <w:tc>
          <w:tcPr>
            <w:tcW w:w="1701" w:type="dxa"/>
            <w:shd w:val="clear" w:color="auto" w:fill="F2F2F2"/>
            <w:vAlign w:val="center"/>
          </w:tcPr>
          <w:p w14:paraId="3B2BC4F5" w14:textId="04F50DE1" w:rsidR="000D0B32" w:rsidRPr="007F7A64" w:rsidRDefault="000D0B32" w:rsidP="00E80CEF">
            <w:pPr>
              <w:spacing w:after="0"/>
              <w:rPr>
                <w:b/>
              </w:rPr>
            </w:pPr>
            <w:r>
              <w:rPr>
                <w:b/>
                <w:lang w:bidi="fr-FR"/>
              </w:rPr>
              <w:t>Justification</w:t>
            </w:r>
            <w:r>
              <w:rPr>
                <w:b/>
                <w:lang w:bidi="fr-FR"/>
              </w:rPr>
              <w:tab/>
            </w:r>
          </w:p>
        </w:tc>
        <w:tc>
          <w:tcPr>
            <w:tcW w:w="9099" w:type="dxa"/>
          </w:tcPr>
          <w:p w14:paraId="448DF6A8" w14:textId="5289BEED" w:rsidR="00F0648C" w:rsidRPr="00526D36" w:rsidRDefault="00F0648C" w:rsidP="00750CA9">
            <w:pPr>
              <w:pStyle w:val="Texteformulaire"/>
            </w:pPr>
            <w:r w:rsidRPr="00526D36">
              <w:t xml:space="preserve">Les </w:t>
            </w:r>
            <w:proofErr w:type="spellStart"/>
            <w:r w:rsidRPr="00526D36">
              <w:t>données</w:t>
            </w:r>
            <w:proofErr w:type="spellEnd"/>
            <w:r w:rsidRPr="00526D36">
              <w:t xml:space="preserve"> </w:t>
            </w:r>
            <w:proofErr w:type="spellStart"/>
            <w:r w:rsidRPr="00526D36">
              <w:t>épidémiologiques</w:t>
            </w:r>
            <w:proofErr w:type="spellEnd"/>
            <w:r w:rsidRPr="00526D36">
              <w:t xml:space="preserve"> du pays et la revue </w:t>
            </w:r>
            <w:proofErr w:type="spellStart"/>
            <w:r w:rsidRPr="00526D36">
              <w:t>documentaire</w:t>
            </w:r>
            <w:proofErr w:type="spellEnd"/>
            <w:r w:rsidRPr="00526D36">
              <w:t xml:space="preserve"> </w:t>
            </w:r>
            <w:proofErr w:type="spellStart"/>
            <w:r w:rsidRPr="00526D36">
              <w:t>ont</w:t>
            </w:r>
            <w:proofErr w:type="spellEnd"/>
            <w:r w:rsidRPr="00526D36">
              <w:t xml:space="preserve"> mis </w:t>
            </w:r>
            <w:proofErr w:type="spellStart"/>
            <w:r w:rsidRPr="00526D36">
              <w:t>en</w:t>
            </w:r>
            <w:proofErr w:type="spellEnd"/>
            <w:r w:rsidRPr="00526D36">
              <w:t xml:space="preserve"> </w:t>
            </w:r>
            <w:proofErr w:type="spellStart"/>
            <w:proofErr w:type="gramStart"/>
            <w:r w:rsidRPr="00526D36">
              <w:t>évidence</w:t>
            </w:r>
            <w:proofErr w:type="spellEnd"/>
            <w:r w:rsidR="00D37556">
              <w:t> :</w:t>
            </w:r>
            <w:proofErr w:type="gramEnd"/>
            <w:r w:rsidRPr="00526D36">
              <w:t xml:space="preserve"> </w:t>
            </w:r>
          </w:p>
          <w:p w14:paraId="153C5F67" w14:textId="0BFC704C" w:rsidR="00F0648C" w:rsidRPr="00306FB8" w:rsidRDefault="00F0648C" w:rsidP="004D0D5B">
            <w:pPr>
              <w:pStyle w:val="liste1"/>
            </w:pPr>
            <w:proofErr w:type="spellStart"/>
            <w:r w:rsidRPr="00306FB8">
              <w:t>Prévalence</w:t>
            </w:r>
            <w:proofErr w:type="spellEnd"/>
            <w:r w:rsidRPr="00306FB8">
              <w:t xml:space="preserve"> </w:t>
            </w:r>
            <w:proofErr w:type="spellStart"/>
            <w:r w:rsidRPr="00306FB8">
              <w:t>élevée</w:t>
            </w:r>
            <w:proofErr w:type="spellEnd"/>
            <w:r w:rsidRPr="00306FB8">
              <w:t xml:space="preserve"> et supérieure à la </w:t>
            </w:r>
            <w:proofErr w:type="spellStart"/>
            <w:r w:rsidRPr="00306FB8">
              <w:t>moyenne</w:t>
            </w:r>
            <w:proofErr w:type="spellEnd"/>
            <w:r w:rsidRPr="00306FB8">
              <w:t xml:space="preserve"> </w:t>
            </w:r>
            <w:proofErr w:type="spellStart"/>
            <w:r w:rsidRPr="00306FB8">
              <w:t>nationale</w:t>
            </w:r>
            <w:proofErr w:type="spellEnd"/>
            <w:r w:rsidRPr="00306FB8">
              <w:t xml:space="preserve"> de 2,</w:t>
            </w:r>
            <w:r w:rsidR="00DC6424">
              <w:t>39</w:t>
            </w:r>
            <w:r w:rsidRPr="00306FB8">
              <w:t xml:space="preserve">% </w:t>
            </w:r>
            <w:r w:rsidR="00DC6424">
              <w:t xml:space="preserve">: </w:t>
            </w:r>
            <w:r w:rsidRPr="00306FB8">
              <w:t>HSH</w:t>
            </w:r>
            <w:r w:rsidR="00D37556" w:rsidRPr="00306FB8">
              <w:t> </w:t>
            </w:r>
            <w:r w:rsidR="00DC6424">
              <w:t xml:space="preserve">= </w:t>
            </w:r>
            <w:r w:rsidRPr="00306FB8">
              <w:t>11,</w:t>
            </w:r>
            <w:r w:rsidR="00DC6424">
              <w:t>6</w:t>
            </w:r>
            <w:r w:rsidRPr="00306FB8">
              <w:t xml:space="preserve">% ; </w:t>
            </w:r>
            <w:r w:rsidR="00DC6424">
              <w:t>TG</w:t>
            </w:r>
            <w:r w:rsidR="00DC6424" w:rsidRPr="00306FB8">
              <w:t> </w:t>
            </w:r>
            <w:r w:rsidR="00DC6424">
              <w:t>=</w:t>
            </w:r>
            <w:r w:rsidR="00D37556" w:rsidRPr="00306FB8">
              <w:t xml:space="preserve"> </w:t>
            </w:r>
            <w:r w:rsidR="00DC6424">
              <w:t>22</w:t>
            </w:r>
            <w:r w:rsidRPr="00306FB8">
              <w:t>,</w:t>
            </w:r>
            <w:r w:rsidR="00DC6424">
              <w:t>6</w:t>
            </w:r>
            <w:r w:rsidRPr="00306FB8">
              <w:t>%</w:t>
            </w:r>
            <w:r w:rsidR="00DC6424">
              <w:t xml:space="preserve"> </w:t>
            </w:r>
            <w:r w:rsidRPr="00306FB8">
              <w:t xml:space="preserve">; </w:t>
            </w:r>
            <w:r w:rsidR="006C01B0">
              <w:t>T</w:t>
            </w:r>
            <w:r w:rsidRPr="00306FB8">
              <w:t>S</w:t>
            </w:r>
            <w:r w:rsidR="00D37556" w:rsidRPr="00306FB8">
              <w:t> </w:t>
            </w:r>
            <w:r w:rsidR="00DC6424">
              <w:t>=</w:t>
            </w:r>
            <w:r w:rsidR="00D37556" w:rsidRPr="00306FB8">
              <w:t xml:space="preserve"> </w:t>
            </w:r>
            <w:r w:rsidRPr="00306FB8">
              <w:t>1</w:t>
            </w:r>
            <w:r w:rsidR="00DC6424">
              <w:t>2</w:t>
            </w:r>
            <w:r w:rsidRPr="00306FB8">
              <w:t>,</w:t>
            </w:r>
            <w:r w:rsidR="00DC6424">
              <w:t>6</w:t>
            </w:r>
            <w:r w:rsidRPr="00306FB8">
              <w:t>%</w:t>
            </w:r>
            <w:r w:rsidR="006C01B0">
              <w:t xml:space="preserve"> </w:t>
            </w:r>
            <w:r w:rsidRPr="00306FB8">
              <w:t>; UD</w:t>
            </w:r>
            <w:r w:rsidR="00D37556" w:rsidRPr="00306FB8">
              <w:t> </w:t>
            </w:r>
            <w:r w:rsidR="00DC6424">
              <w:t>=</w:t>
            </w:r>
            <w:r w:rsidR="00D37556" w:rsidRPr="00306FB8">
              <w:t xml:space="preserve"> </w:t>
            </w:r>
            <w:r w:rsidR="00DC6424">
              <w:t>3,4</w:t>
            </w:r>
            <w:r w:rsidRPr="00306FB8">
              <w:t>%</w:t>
            </w:r>
            <w:r w:rsidR="006C01B0">
              <w:t xml:space="preserve"> ;</w:t>
            </w:r>
            <w:r w:rsidRPr="00306FB8">
              <w:t xml:space="preserve"> </w:t>
            </w:r>
            <w:r w:rsidR="006C01B0">
              <w:t>PSH</w:t>
            </w:r>
            <w:r w:rsidR="006C01B0" w:rsidRPr="00306FB8">
              <w:t> </w:t>
            </w:r>
            <w:r w:rsidR="00DC6424">
              <w:t>=</w:t>
            </w:r>
            <w:r w:rsidR="00D37556" w:rsidRPr="00306FB8">
              <w:t xml:space="preserve"> </w:t>
            </w:r>
            <w:r w:rsidR="00DC6424">
              <w:t>2</w:t>
            </w:r>
            <w:r w:rsidRPr="00306FB8">
              <w:t>,6%</w:t>
            </w:r>
            <w:r w:rsidR="00DC6424">
              <w:t xml:space="preserve"> ; avec </w:t>
            </w:r>
            <w:proofErr w:type="spellStart"/>
            <w:r w:rsidR="00DC6424">
              <w:t>une</w:t>
            </w:r>
            <w:proofErr w:type="spellEnd"/>
            <w:r w:rsidR="00DC6424">
              <w:t xml:space="preserve"> </w:t>
            </w:r>
            <w:proofErr w:type="spellStart"/>
            <w:r w:rsidR="00DC6424">
              <w:t>prévalence</w:t>
            </w:r>
            <w:proofErr w:type="spellEnd"/>
            <w:r w:rsidRPr="00306FB8">
              <w:t xml:space="preserve"> </w:t>
            </w:r>
            <w:r w:rsidR="00DC6424" w:rsidRPr="00306FB8">
              <w:t xml:space="preserve">chez les </w:t>
            </w:r>
            <w:proofErr w:type="spellStart"/>
            <w:r w:rsidR="00DC6424" w:rsidRPr="00306FB8">
              <w:t>adolescentes</w:t>
            </w:r>
            <w:proofErr w:type="spellEnd"/>
            <w:r w:rsidR="00DC6424" w:rsidRPr="00306FB8">
              <w:t xml:space="preserve"> et </w:t>
            </w:r>
            <w:proofErr w:type="spellStart"/>
            <w:r w:rsidR="00DC6424" w:rsidRPr="00306FB8">
              <w:t>jeunes</w:t>
            </w:r>
            <w:proofErr w:type="spellEnd"/>
            <w:r w:rsidR="00DC6424" w:rsidRPr="00306FB8">
              <w:t xml:space="preserve"> </w:t>
            </w:r>
            <w:proofErr w:type="spellStart"/>
            <w:r w:rsidR="00DC6424" w:rsidRPr="00306FB8">
              <w:t>filles</w:t>
            </w:r>
            <w:proofErr w:type="spellEnd"/>
            <w:r w:rsidR="00DC6424" w:rsidRPr="00306FB8">
              <w:t xml:space="preserve"> </w:t>
            </w:r>
            <w:r w:rsidRPr="00306FB8">
              <w:t>2,</w:t>
            </w:r>
            <w:r w:rsidR="00DC6424">
              <w:t>4</w:t>
            </w:r>
            <w:r w:rsidRPr="00306FB8">
              <w:t xml:space="preserve"> </w:t>
            </w:r>
            <w:proofErr w:type="spellStart"/>
            <w:r w:rsidRPr="00306FB8">
              <w:t>fois</w:t>
            </w:r>
            <w:proofErr w:type="spellEnd"/>
            <w:r w:rsidRPr="00306FB8">
              <w:t xml:space="preserve"> plus </w:t>
            </w:r>
            <w:proofErr w:type="spellStart"/>
            <w:r w:rsidRPr="00306FB8">
              <w:t>élevée</w:t>
            </w:r>
            <w:proofErr w:type="spellEnd"/>
            <w:r w:rsidR="00DC6424">
              <w:t xml:space="preserve"> que chez les adolescents et </w:t>
            </w:r>
            <w:proofErr w:type="spellStart"/>
            <w:r w:rsidR="00DC6424">
              <w:t>jeunes</w:t>
            </w:r>
            <w:proofErr w:type="spellEnd"/>
            <w:r w:rsidR="00DC6424">
              <w:t xml:space="preserve"> hommes</w:t>
            </w:r>
            <w:r w:rsidRPr="00306FB8">
              <w:t>)</w:t>
            </w:r>
            <w:r w:rsidR="00DC6424">
              <w:t xml:space="preserve">, </w:t>
            </w:r>
            <w:proofErr w:type="spellStart"/>
            <w:r w:rsidR="00DC6424">
              <w:t>voir</w:t>
            </w:r>
            <w:proofErr w:type="spellEnd"/>
            <w:r w:rsidR="00DC6424">
              <w:t xml:space="preserve"> section 1.2 ci-dessus</w:t>
            </w:r>
          </w:p>
          <w:p w14:paraId="4824BA20" w14:textId="5EAE2232" w:rsidR="00F0648C" w:rsidRPr="00750CA9" w:rsidRDefault="00F0648C" w:rsidP="004D0D5B">
            <w:pPr>
              <w:pStyle w:val="liste1"/>
            </w:pPr>
            <w:r w:rsidRPr="00750CA9">
              <w:t>TS, HSH, UD</w:t>
            </w:r>
            <w:r w:rsidR="00DC6424" w:rsidRPr="00750CA9">
              <w:t>/UDI</w:t>
            </w:r>
            <w:r w:rsidRPr="00750CA9">
              <w:t xml:space="preserve">, PC </w:t>
            </w:r>
            <w:proofErr w:type="spellStart"/>
            <w:r w:rsidR="00DC6424">
              <w:t>sont</w:t>
            </w:r>
            <w:proofErr w:type="spellEnd"/>
            <w:r w:rsidR="00DC6424">
              <w:t xml:space="preserve"> des</w:t>
            </w:r>
            <w:r w:rsidR="00DC6424" w:rsidRPr="00750CA9">
              <w:t xml:space="preserve"> </w:t>
            </w:r>
            <w:r w:rsidRPr="00750CA9">
              <w:t xml:space="preserve">populations </w:t>
            </w:r>
            <w:proofErr w:type="spellStart"/>
            <w:r w:rsidRPr="00750CA9">
              <w:t>clés</w:t>
            </w:r>
            <w:proofErr w:type="spellEnd"/>
            <w:r w:rsidRPr="00750CA9">
              <w:t xml:space="preserve"> </w:t>
            </w:r>
            <w:proofErr w:type="spellStart"/>
            <w:r w:rsidRPr="00750CA9">
              <w:t>prioritaires</w:t>
            </w:r>
            <w:proofErr w:type="spellEnd"/>
            <w:r w:rsidRPr="00750CA9">
              <w:t xml:space="preserve"> du PSN</w:t>
            </w:r>
          </w:p>
          <w:p w14:paraId="440530F2" w14:textId="5466C21C" w:rsidR="00F0648C" w:rsidRPr="00306FB8" w:rsidRDefault="00F0648C" w:rsidP="004D0D5B">
            <w:pPr>
              <w:pStyle w:val="liste1"/>
              <w:rPr>
                <w:color w:val="404040" w:themeColor="text1"/>
              </w:rPr>
            </w:pPr>
            <w:proofErr w:type="spellStart"/>
            <w:r w:rsidRPr="00306FB8">
              <w:t>Taux</w:t>
            </w:r>
            <w:proofErr w:type="spellEnd"/>
            <w:r w:rsidRPr="00306FB8">
              <w:t xml:space="preserve"> de </w:t>
            </w:r>
            <w:proofErr w:type="spellStart"/>
            <w:r w:rsidRPr="00306FB8">
              <w:t>nouvelles</w:t>
            </w:r>
            <w:proofErr w:type="spellEnd"/>
            <w:r w:rsidRPr="00306FB8">
              <w:t xml:space="preserve"> infections </w:t>
            </w:r>
            <w:proofErr w:type="spellStart"/>
            <w:r w:rsidRPr="00306FB8">
              <w:t>élévé</w:t>
            </w:r>
            <w:proofErr w:type="spellEnd"/>
            <w:r w:rsidRPr="00306FB8">
              <w:t xml:space="preserve"> chez les 15</w:t>
            </w:r>
            <w:r w:rsidR="005010EE" w:rsidRPr="00306FB8">
              <w:t>-</w:t>
            </w:r>
            <w:r w:rsidRPr="00306FB8">
              <w:t xml:space="preserve">24 </w:t>
            </w:r>
            <w:proofErr w:type="spellStart"/>
            <w:r w:rsidRPr="00306FB8">
              <w:t>ans</w:t>
            </w:r>
            <w:proofErr w:type="spellEnd"/>
            <w:r w:rsidRPr="00306FB8">
              <w:t xml:space="preserve"> (15% chez les 20-24 </w:t>
            </w:r>
            <w:proofErr w:type="spellStart"/>
            <w:r w:rsidRPr="00306FB8">
              <w:t>ans</w:t>
            </w:r>
            <w:proofErr w:type="spellEnd"/>
            <w:r w:rsidRPr="00306FB8">
              <w:t xml:space="preserve">, 8% chez les adolescent(e)s de 15-19 </w:t>
            </w:r>
            <w:proofErr w:type="spellStart"/>
            <w:r w:rsidRPr="00306FB8">
              <w:t>ans</w:t>
            </w:r>
            <w:proofErr w:type="spellEnd"/>
            <w:r w:rsidRPr="00306FB8">
              <w:t xml:space="preserve">) </w:t>
            </w:r>
            <w:proofErr w:type="spellStart"/>
            <w:r w:rsidRPr="00306FB8">
              <w:t>selon</w:t>
            </w:r>
            <w:proofErr w:type="spellEnd"/>
            <w:r w:rsidRPr="00306FB8">
              <w:t xml:space="preserve"> Spectrum </w:t>
            </w:r>
            <w:r w:rsidR="00DC6424" w:rsidRPr="00306FB8">
              <w:t>20</w:t>
            </w:r>
            <w:r w:rsidR="00DC6424">
              <w:t>20</w:t>
            </w:r>
          </w:p>
          <w:p w14:paraId="16338D28" w14:textId="1559485C" w:rsidR="00F0648C" w:rsidRPr="00306FB8" w:rsidRDefault="00F0648C" w:rsidP="004D0D5B">
            <w:pPr>
              <w:pStyle w:val="liste1"/>
              <w:rPr>
                <w:color w:val="404040" w:themeColor="text1"/>
              </w:rPr>
            </w:pPr>
            <w:proofErr w:type="spellStart"/>
            <w:r w:rsidRPr="00306FB8">
              <w:rPr>
                <w:color w:val="404040" w:themeColor="text1"/>
              </w:rPr>
              <w:t>Nombre</w:t>
            </w:r>
            <w:proofErr w:type="spellEnd"/>
            <w:r w:rsidRPr="00306FB8">
              <w:rPr>
                <w:color w:val="404040" w:themeColor="text1"/>
              </w:rPr>
              <w:t xml:space="preserve"> de </w:t>
            </w:r>
            <w:proofErr w:type="spellStart"/>
            <w:r w:rsidRPr="00306FB8">
              <w:rPr>
                <w:color w:val="404040" w:themeColor="text1"/>
              </w:rPr>
              <w:t>grossesse</w:t>
            </w:r>
            <w:r w:rsidR="00D37556" w:rsidRPr="00306FB8">
              <w:rPr>
                <w:color w:val="404040" w:themeColor="text1"/>
              </w:rPr>
              <w:t>s</w:t>
            </w:r>
            <w:proofErr w:type="spellEnd"/>
            <w:r w:rsidRPr="00306FB8">
              <w:rPr>
                <w:color w:val="404040" w:themeColor="text1"/>
              </w:rPr>
              <w:t xml:space="preserve"> </w:t>
            </w:r>
            <w:proofErr w:type="spellStart"/>
            <w:r w:rsidRPr="00306FB8">
              <w:rPr>
                <w:color w:val="404040" w:themeColor="text1"/>
              </w:rPr>
              <w:t>en</w:t>
            </w:r>
            <w:proofErr w:type="spellEnd"/>
            <w:r w:rsidRPr="00306FB8">
              <w:rPr>
                <w:color w:val="404040" w:themeColor="text1"/>
              </w:rPr>
              <w:t xml:space="preserve"> milieu </w:t>
            </w:r>
            <w:proofErr w:type="spellStart"/>
            <w:r w:rsidRPr="00306FB8">
              <w:rPr>
                <w:color w:val="404040" w:themeColor="text1"/>
              </w:rPr>
              <w:t>scolaire</w:t>
            </w:r>
            <w:proofErr w:type="spellEnd"/>
            <w:r w:rsidRPr="00306FB8">
              <w:rPr>
                <w:color w:val="404040" w:themeColor="text1"/>
              </w:rPr>
              <w:t xml:space="preserve"> </w:t>
            </w:r>
            <w:proofErr w:type="spellStart"/>
            <w:proofErr w:type="gramStart"/>
            <w:r w:rsidRPr="00306FB8">
              <w:rPr>
                <w:color w:val="404040" w:themeColor="text1"/>
              </w:rPr>
              <w:t>élévé</w:t>
            </w:r>
            <w:proofErr w:type="spellEnd"/>
            <w:r w:rsidRPr="00306FB8">
              <w:rPr>
                <w:color w:val="404040" w:themeColor="text1"/>
              </w:rPr>
              <w:t xml:space="preserve"> </w:t>
            </w:r>
            <w:r w:rsidR="00DC6424">
              <w:rPr>
                <w:color w:val="404040" w:themeColor="text1"/>
              </w:rPr>
              <w:t>:</w:t>
            </w:r>
            <w:proofErr w:type="gramEnd"/>
            <w:r w:rsidR="00DC6424">
              <w:rPr>
                <w:color w:val="404040" w:themeColor="text1"/>
              </w:rPr>
              <w:t xml:space="preserve"> </w:t>
            </w:r>
            <w:r w:rsidRPr="00306FB8">
              <w:rPr>
                <w:color w:val="404040" w:themeColor="text1"/>
              </w:rPr>
              <w:t xml:space="preserve">4 166 </w:t>
            </w:r>
            <w:proofErr w:type="spellStart"/>
            <w:r w:rsidRPr="00306FB8">
              <w:rPr>
                <w:color w:val="404040" w:themeColor="text1"/>
              </w:rPr>
              <w:t>cas</w:t>
            </w:r>
            <w:proofErr w:type="spellEnd"/>
            <w:r w:rsidRPr="00306FB8">
              <w:rPr>
                <w:color w:val="404040" w:themeColor="text1"/>
              </w:rPr>
              <w:t xml:space="preserve"> </w:t>
            </w:r>
            <w:proofErr w:type="spellStart"/>
            <w:r w:rsidRPr="00306FB8">
              <w:rPr>
                <w:color w:val="404040" w:themeColor="text1"/>
              </w:rPr>
              <w:t>en</w:t>
            </w:r>
            <w:proofErr w:type="spellEnd"/>
            <w:r w:rsidRPr="00306FB8">
              <w:rPr>
                <w:color w:val="404040" w:themeColor="text1"/>
              </w:rPr>
              <w:t xml:space="preserve"> 2017-2018</w:t>
            </w:r>
            <w:r w:rsidR="00B46DFA">
              <w:rPr>
                <w:color w:val="404040" w:themeColor="text1"/>
              </w:rPr>
              <w:t xml:space="preserve"> (</w:t>
            </w:r>
            <w:r w:rsidR="00B46DFA">
              <w:rPr>
                <w:color w:val="222222"/>
                <w:shd w:val="clear" w:color="auto" w:fill="FFFFFF"/>
              </w:rPr>
              <w:t xml:space="preserve">Directive </w:t>
            </w:r>
            <w:proofErr w:type="spellStart"/>
            <w:r w:rsidRPr="00306FB8">
              <w:rPr>
                <w:color w:val="222222"/>
                <w:shd w:val="clear" w:color="auto" w:fill="FFFFFF"/>
              </w:rPr>
              <w:t>Nationale</w:t>
            </w:r>
            <w:proofErr w:type="spellEnd"/>
            <w:r w:rsidRPr="00306FB8">
              <w:rPr>
                <w:color w:val="222222"/>
                <w:shd w:val="clear" w:color="auto" w:fill="FFFFFF"/>
              </w:rPr>
              <w:t xml:space="preserve"> de </w:t>
            </w:r>
            <w:r w:rsidR="00B46DFA">
              <w:rPr>
                <w:color w:val="222222"/>
                <w:shd w:val="clear" w:color="auto" w:fill="FFFFFF"/>
              </w:rPr>
              <w:t xml:space="preserve">la </w:t>
            </w:r>
            <w:proofErr w:type="spellStart"/>
            <w:r w:rsidR="00B46DFA">
              <w:rPr>
                <w:color w:val="222222"/>
                <w:shd w:val="clear" w:color="auto" w:fill="FFFFFF"/>
              </w:rPr>
              <w:t>Prévention</w:t>
            </w:r>
            <w:proofErr w:type="spellEnd"/>
            <w:r w:rsidR="00B46DFA">
              <w:rPr>
                <w:color w:val="222222"/>
                <w:shd w:val="clear" w:color="auto" w:fill="FFFFFF"/>
              </w:rPr>
              <w:t xml:space="preserve"> </w:t>
            </w:r>
            <w:proofErr w:type="spellStart"/>
            <w:r w:rsidR="00B46DFA">
              <w:rPr>
                <w:color w:val="222222"/>
                <w:shd w:val="clear" w:color="auto" w:fill="FFFFFF"/>
              </w:rPr>
              <w:t>Combinée</w:t>
            </w:r>
            <w:proofErr w:type="spellEnd"/>
            <w:r w:rsidR="00B46DFA">
              <w:rPr>
                <w:color w:val="222222"/>
                <w:shd w:val="clear" w:color="auto" w:fill="FFFFFF"/>
              </w:rPr>
              <w:t xml:space="preserve"> des IST et du VIH chez les </w:t>
            </w:r>
            <w:r w:rsidR="00A01BF1">
              <w:rPr>
                <w:color w:val="222222"/>
                <w:shd w:val="clear" w:color="auto" w:fill="FFFFFF"/>
              </w:rPr>
              <w:t>A</w:t>
            </w:r>
            <w:r w:rsidRPr="00B307A5">
              <w:rPr>
                <w:color w:val="222222"/>
                <w:shd w:val="clear" w:color="auto" w:fill="FFFFFF"/>
              </w:rPr>
              <w:t>dolescent</w:t>
            </w:r>
            <w:r w:rsidRPr="00306FB8">
              <w:rPr>
                <w:color w:val="222222"/>
                <w:shd w:val="clear" w:color="auto" w:fill="FFFFFF"/>
              </w:rPr>
              <w:t>(e)</w:t>
            </w:r>
            <w:proofErr w:type="spellStart"/>
            <w:r w:rsidRPr="00306FB8">
              <w:rPr>
                <w:color w:val="222222"/>
                <w:shd w:val="clear" w:color="auto" w:fill="FFFFFF"/>
              </w:rPr>
              <w:t>s et</w:t>
            </w:r>
            <w:proofErr w:type="spellEnd"/>
            <w:r w:rsidRPr="00306FB8">
              <w:rPr>
                <w:color w:val="222222"/>
                <w:shd w:val="clear" w:color="auto" w:fill="FFFFFF"/>
              </w:rPr>
              <w:t xml:space="preserve"> </w:t>
            </w:r>
            <w:proofErr w:type="spellStart"/>
            <w:r w:rsidR="00A01BF1">
              <w:rPr>
                <w:color w:val="222222"/>
                <w:shd w:val="clear" w:color="auto" w:fill="FFFFFF"/>
              </w:rPr>
              <w:t>J</w:t>
            </w:r>
            <w:r w:rsidRPr="00B307A5">
              <w:rPr>
                <w:color w:val="222222"/>
                <w:shd w:val="clear" w:color="auto" w:fill="FFFFFF"/>
              </w:rPr>
              <w:t>eunes</w:t>
            </w:r>
            <w:proofErr w:type="spellEnd"/>
            <w:r w:rsidR="00B46DFA">
              <w:rPr>
                <w:color w:val="222222"/>
                <w:shd w:val="clear" w:color="auto" w:fill="FFFFFF"/>
              </w:rPr>
              <w:t>,</w:t>
            </w:r>
            <w:r w:rsidRPr="00306FB8">
              <w:rPr>
                <w:color w:val="222222"/>
                <w:shd w:val="clear" w:color="auto" w:fill="FFFFFF"/>
              </w:rPr>
              <w:t xml:space="preserve"> 20</w:t>
            </w:r>
            <w:r w:rsidR="00B46DFA">
              <w:rPr>
                <w:color w:val="222222"/>
                <w:shd w:val="clear" w:color="auto" w:fill="FFFFFF"/>
              </w:rPr>
              <w:t>20</w:t>
            </w:r>
            <w:r w:rsidR="00F51D57">
              <w:rPr>
                <w:color w:val="222222"/>
                <w:shd w:val="clear" w:color="auto" w:fill="FFFFFF"/>
              </w:rPr>
              <w:t xml:space="preserve"> </w:t>
            </w:r>
            <w:r w:rsidR="0002374C" w:rsidRPr="0002374C">
              <w:rPr>
                <w:i/>
              </w:rPr>
              <w:t>(</w:t>
            </w:r>
            <w:proofErr w:type="spellStart"/>
            <w:r w:rsidR="0002374C" w:rsidRPr="0002374C">
              <w:rPr>
                <w:i/>
              </w:rPr>
              <w:t>Annexe</w:t>
            </w:r>
            <w:proofErr w:type="spellEnd"/>
            <w:r w:rsidR="0002374C" w:rsidRPr="0002374C">
              <w:rPr>
                <w:i/>
              </w:rPr>
              <w:t xml:space="preserve"> </w:t>
            </w:r>
            <w:r w:rsidR="0002374C">
              <w:rPr>
                <w:i/>
              </w:rPr>
              <w:t>29</w:t>
            </w:r>
            <w:r w:rsidR="0002374C" w:rsidRPr="0002374C">
              <w:rPr>
                <w:i/>
              </w:rPr>
              <w:t>)</w:t>
            </w:r>
          </w:p>
          <w:p w14:paraId="52BAF7D2" w14:textId="1B77E3FE" w:rsidR="00F0648C" w:rsidRPr="00806742" w:rsidRDefault="00F0648C" w:rsidP="004D0D5B">
            <w:pPr>
              <w:pStyle w:val="liste1"/>
              <w:rPr>
                <w:b/>
                <w:bCs/>
                <w:color w:val="0070C0"/>
              </w:rPr>
            </w:pPr>
            <w:proofErr w:type="spellStart"/>
            <w:r w:rsidRPr="00306FB8">
              <w:lastRenderedPageBreak/>
              <w:t>Faible</w:t>
            </w:r>
            <w:proofErr w:type="spellEnd"/>
            <w:r w:rsidRPr="00306FB8">
              <w:t xml:space="preserve"> </w:t>
            </w:r>
            <w:proofErr w:type="spellStart"/>
            <w:r w:rsidRPr="00306FB8">
              <w:t>niveau</w:t>
            </w:r>
            <w:proofErr w:type="spellEnd"/>
            <w:r w:rsidRPr="00306FB8">
              <w:t xml:space="preserve"> </w:t>
            </w:r>
            <w:proofErr w:type="spellStart"/>
            <w:r w:rsidRPr="00306FB8">
              <w:t>d’utilisation</w:t>
            </w:r>
            <w:proofErr w:type="spellEnd"/>
            <w:r w:rsidRPr="00306FB8">
              <w:t xml:space="preserve"> </w:t>
            </w:r>
            <w:proofErr w:type="spellStart"/>
            <w:r w:rsidRPr="00306FB8">
              <w:t>correcte</w:t>
            </w:r>
            <w:proofErr w:type="spellEnd"/>
            <w:r w:rsidRPr="00306FB8">
              <w:t xml:space="preserve"> des </w:t>
            </w:r>
            <w:proofErr w:type="spellStart"/>
            <w:r w:rsidRPr="00306FB8">
              <w:t>préservatifs</w:t>
            </w:r>
            <w:proofErr w:type="spellEnd"/>
            <w:r w:rsidRPr="00306FB8">
              <w:t xml:space="preserve"> </w:t>
            </w:r>
            <w:proofErr w:type="spellStart"/>
            <w:r w:rsidRPr="00306FB8">
              <w:t>lors</w:t>
            </w:r>
            <w:proofErr w:type="spellEnd"/>
            <w:r w:rsidRPr="00306FB8">
              <w:t xml:space="preserve"> des rapports </w:t>
            </w:r>
            <w:proofErr w:type="spellStart"/>
            <w:r w:rsidRPr="00306FB8">
              <w:t>sexuels</w:t>
            </w:r>
            <w:proofErr w:type="spellEnd"/>
            <w:r w:rsidRPr="00306FB8">
              <w:t xml:space="preserve"> à </w:t>
            </w:r>
            <w:proofErr w:type="spellStart"/>
            <w:r w:rsidRPr="00306FB8">
              <w:t>risque</w:t>
            </w:r>
            <w:proofErr w:type="spellEnd"/>
            <w:r w:rsidRPr="00306FB8">
              <w:t xml:space="preserve"> (46</w:t>
            </w:r>
            <w:r w:rsidR="00B46DFA">
              <w:t>,</w:t>
            </w:r>
            <w:r w:rsidRPr="00306FB8">
              <w:t xml:space="preserve">3% chez les 15-49 </w:t>
            </w:r>
            <w:proofErr w:type="spellStart"/>
            <w:r w:rsidRPr="00306FB8">
              <w:t>ans</w:t>
            </w:r>
            <w:proofErr w:type="spellEnd"/>
            <w:r w:rsidRPr="00306FB8">
              <w:t xml:space="preserve"> </w:t>
            </w:r>
            <w:r w:rsidR="00B46DFA">
              <w:t>–</w:t>
            </w:r>
            <w:r w:rsidRPr="00306FB8">
              <w:t xml:space="preserve"> CIPHIA</w:t>
            </w:r>
            <w:r w:rsidR="00B46DFA">
              <w:t xml:space="preserve"> 2018</w:t>
            </w:r>
            <w:r w:rsidR="0002374C">
              <w:t xml:space="preserve">, </w:t>
            </w:r>
            <w:proofErr w:type="spellStart"/>
            <w:r w:rsidR="0002374C" w:rsidRPr="009954DA">
              <w:rPr>
                <w:i/>
                <w:color w:val="FF0000"/>
              </w:rPr>
              <w:t>Annexe</w:t>
            </w:r>
            <w:proofErr w:type="spellEnd"/>
            <w:r w:rsidR="0002374C" w:rsidRPr="009954DA">
              <w:rPr>
                <w:i/>
                <w:color w:val="FF0000"/>
              </w:rPr>
              <w:t xml:space="preserve"> </w:t>
            </w:r>
            <w:r w:rsidR="009954DA" w:rsidRPr="009954DA">
              <w:rPr>
                <w:i/>
                <w:color w:val="FF0000"/>
              </w:rPr>
              <w:t>38</w:t>
            </w:r>
            <w:r w:rsidR="0002374C" w:rsidRPr="0002374C">
              <w:rPr>
                <w:i/>
              </w:rPr>
              <w:t>)</w:t>
            </w:r>
          </w:p>
          <w:p w14:paraId="69C20748" w14:textId="4199B898" w:rsidR="00F0648C" w:rsidRPr="00750CA9" w:rsidRDefault="00F0648C" w:rsidP="004D0D5B">
            <w:pPr>
              <w:pStyle w:val="liste1"/>
            </w:pPr>
            <w:proofErr w:type="spellStart"/>
            <w:r w:rsidRPr="00750CA9">
              <w:t>Faible</w:t>
            </w:r>
            <w:proofErr w:type="spellEnd"/>
            <w:r w:rsidRPr="00750CA9">
              <w:t xml:space="preserve"> couverture de la </w:t>
            </w:r>
            <w:proofErr w:type="spellStart"/>
            <w:r w:rsidRPr="00750CA9">
              <w:t>prévention</w:t>
            </w:r>
            <w:proofErr w:type="spellEnd"/>
            <w:r w:rsidRPr="00750CA9">
              <w:t xml:space="preserve"> </w:t>
            </w:r>
            <w:proofErr w:type="spellStart"/>
            <w:r w:rsidRPr="00750CA9">
              <w:t>combinée</w:t>
            </w:r>
            <w:proofErr w:type="spellEnd"/>
            <w:r w:rsidRPr="00750CA9">
              <w:t xml:space="preserve"> chez les populations </w:t>
            </w:r>
            <w:proofErr w:type="spellStart"/>
            <w:r w:rsidRPr="00750CA9">
              <w:t>clés</w:t>
            </w:r>
            <w:proofErr w:type="spellEnd"/>
            <w:r w:rsidRPr="00750CA9">
              <w:t xml:space="preserve"> (</w:t>
            </w:r>
            <w:r w:rsidR="00B46DFA">
              <w:t>38</w:t>
            </w:r>
            <w:r w:rsidRPr="00750CA9">
              <w:t>% de HSH; 7</w:t>
            </w:r>
            <w:r w:rsidR="00B46DFA">
              <w:t>7</w:t>
            </w:r>
            <w:r w:rsidRPr="00750CA9">
              <w:t xml:space="preserve">% de TS) avec un </w:t>
            </w:r>
            <w:proofErr w:type="spellStart"/>
            <w:r w:rsidRPr="00750CA9">
              <w:t>accès</w:t>
            </w:r>
            <w:proofErr w:type="spellEnd"/>
            <w:r w:rsidRPr="00750CA9">
              <w:t xml:space="preserve"> </w:t>
            </w:r>
            <w:proofErr w:type="spellStart"/>
            <w:r w:rsidRPr="00750CA9">
              <w:t>limité</w:t>
            </w:r>
            <w:proofErr w:type="spellEnd"/>
            <w:r w:rsidRPr="00750CA9">
              <w:t xml:space="preserve"> à la </w:t>
            </w:r>
            <w:proofErr w:type="spellStart"/>
            <w:proofErr w:type="gramStart"/>
            <w:r w:rsidRPr="00750CA9">
              <w:t>PrEP</w:t>
            </w:r>
            <w:proofErr w:type="spellEnd"/>
            <w:r w:rsidR="00B46DFA" w:rsidRPr="00750CA9">
              <w:t xml:space="preserve"> </w:t>
            </w:r>
            <w:r w:rsidRPr="00750CA9">
              <w:t>;</w:t>
            </w:r>
            <w:proofErr w:type="gramEnd"/>
          </w:p>
          <w:p w14:paraId="539E46BF" w14:textId="06CA2A86" w:rsidR="00F0648C" w:rsidRPr="00750CA9" w:rsidRDefault="00F0648C" w:rsidP="00750CA9">
            <w:pPr>
              <w:pStyle w:val="Texteformulaire"/>
              <w:rPr>
                <w:lang w:val="fr-FR"/>
              </w:rPr>
            </w:pPr>
            <w:proofErr w:type="spellStart"/>
            <w:r w:rsidRPr="00750CA9">
              <w:t>Informations</w:t>
            </w:r>
            <w:proofErr w:type="spellEnd"/>
            <w:r w:rsidRPr="00750CA9">
              <w:t xml:space="preserve"> sur le rapport </w:t>
            </w:r>
            <w:proofErr w:type="spellStart"/>
            <w:r w:rsidRPr="00750CA9">
              <w:t>coût</w:t>
            </w:r>
            <w:proofErr w:type="spellEnd"/>
            <w:r w:rsidRPr="00750CA9">
              <w:t xml:space="preserve"> </w:t>
            </w:r>
            <w:proofErr w:type="spellStart"/>
            <w:r w:rsidRPr="00750CA9">
              <w:t>efficacité</w:t>
            </w:r>
            <w:proofErr w:type="spellEnd"/>
            <w:r w:rsidRPr="00750CA9">
              <w:t xml:space="preserve"> des interventions du </w:t>
            </w:r>
            <w:proofErr w:type="spellStart"/>
            <w:r w:rsidRPr="00750CA9">
              <w:t>préservatif</w:t>
            </w:r>
            <w:proofErr w:type="spellEnd"/>
            <w:r w:rsidRPr="00750CA9">
              <w:t xml:space="preserve"> </w:t>
            </w:r>
            <w:proofErr w:type="spellStart"/>
            <w:r w:rsidRPr="00750CA9">
              <w:t>selon</w:t>
            </w:r>
            <w:proofErr w:type="spellEnd"/>
            <w:r w:rsidRPr="00750CA9">
              <w:t xml:space="preserve"> le Rapport </w:t>
            </w:r>
            <w:proofErr w:type="spellStart"/>
            <w:r w:rsidRPr="00750CA9">
              <w:t>Modélisation</w:t>
            </w:r>
            <w:proofErr w:type="spellEnd"/>
            <w:r w:rsidRPr="00750CA9">
              <w:t xml:space="preserve"> </w:t>
            </w:r>
            <w:proofErr w:type="spellStart"/>
            <w:r w:rsidRPr="00750CA9">
              <w:t>Avenir</w:t>
            </w:r>
            <w:proofErr w:type="spellEnd"/>
            <w:r w:rsidRPr="00750CA9">
              <w:t xml:space="preserve"> Health</w:t>
            </w:r>
            <w:r w:rsidR="00806742">
              <w:t xml:space="preserve"> </w:t>
            </w:r>
            <w:r w:rsidR="0002374C" w:rsidRPr="0002374C">
              <w:rPr>
                <w:i/>
              </w:rPr>
              <w:t>(</w:t>
            </w:r>
            <w:proofErr w:type="spellStart"/>
            <w:r w:rsidR="0002374C" w:rsidRPr="0002374C">
              <w:rPr>
                <w:i/>
              </w:rPr>
              <w:t>Annexe</w:t>
            </w:r>
            <w:proofErr w:type="spellEnd"/>
            <w:r w:rsidR="0002374C" w:rsidRPr="0002374C">
              <w:rPr>
                <w:i/>
              </w:rPr>
              <w:t xml:space="preserve"> </w:t>
            </w:r>
            <w:r w:rsidR="0002374C">
              <w:rPr>
                <w:i/>
              </w:rPr>
              <w:t>23</w:t>
            </w:r>
            <w:r w:rsidR="0002374C" w:rsidRPr="0002374C">
              <w:rPr>
                <w:i/>
              </w:rPr>
              <w:t>)</w:t>
            </w:r>
          </w:p>
          <w:p w14:paraId="02C091A5" w14:textId="414B7B75" w:rsidR="00AB6F69" w:rsidRPr="00750CA9" w:rsidRDefault="00AB6F69" w:rsidP="00750CA9">
            <w:pPr>
              <w:pStyle w:val="Texteformulaire"/>
            </w:pPr>
            <w:proofErr w:type="spellStart"/>
            <w:r w:rsidRPr="00750CA9">
              <w:t>Niveau</w:t>
            </w:r>
            <w:proofErr w:type="spellEnd"/>
            <w:r w:rsidRPr="00750CA9">
              <w:t xml:space="preserve"> des VBG </w:t>
            </w:r>
            <w:proofErr w:type="spellStart"/>
            <w:r w:rsidRPr="00750CA9">
              <w:t>élevé</w:t>
            </w:r>
            <w:proofErr w:type="spellEnd"/>
            <w:r w:rsidRPr="00750CA9">
              <w:t xml:space="preserve"> </w:t>
            </w:r>
            <w:proofErr w:type="spellStart"/>
            <w:r w:rsidRPr="00750CA9">
              <w:t>comme</w:t>
            </w:r>
            <w:proofErr w:type="spellEnd"/>
            <w:r w:rsidRPr="00750CA9">
              <w:t xml:space="preserve"> </w:t>
            </w:r>
            <w:proofErr w:type="spellStart"/>
            <w:r w:rsidRPr="00750CA9">
              <w:t>conséquence</w:t>
            </w:r>
            <w:proofErr w:type="spellEnd"/>
            <w:r w:rsidRPr="00750CA9">
              <w:t xml:space="preserve"> des </w:t>
            </w:r>
            <w:proofErr w:type="spellStart"/>
            <w:r w:rsidRPr="00750CA9">
              <w:t>inégalités</w:t>
            </w:r>
            <w:proofErr w:type="spellEnd"/>
            <w:r w:rsidR="00B46DFA" w:rsidRPr="00750CA9">
              <w:t xml:space="preserve"> de genre</w:t>
            </w:r>
          </w:p>
          <w:p w14:paraId="56B843F4" w14:textId="6ED0F10A" w:rsidR="00AB6F69" w:rsidRPr="00750CA9" w:rsidRDefault="00AB6F69" w:rsidP="00750CA9">
            <w:pPr>
              <w:pStyle w:val="Texteformulaire"/>
            </w:pPr>
            <w:proofErr w:type="spellStart"/>
            <w:r w:rsidRPr="00750CA9">
              <w:t>Faible</w:t>
            </w:r>
            <w:proofErr w:type="spellEnd"/>
            <w:r w:rsidRPr="00750CA9">
              <w:t xml:space="preserve"> engagement des </w:t>
            </w:r>
            <w:proofErr w:type="spellStart"/>
            <w:r w:rsidRPr="00750CA9">
              <w:t>communautés</w:t>
            </w:r>
            <w:proofErr w:type="spellEnd"/>
            <w:r w:rsidRPr="00750CA9">
              <w:t xml:space="preserve"> pour la PF</w:t>
            </w:r>
            <w:r w:rsidR="00B46DFA" w:rsidRPr="00750CA9">
              <w:t>,</w:t>
            </w:r>
            <w:r w:rsidRPr="00750CA9">
              <w:t xml:space="preserve"> surtout les hommes</w:t>
            </w:r>
          </w:p>
          <w:p w14:paraId="10FDB2B2" w14:textId="611C68F8" w:rsidR="00AB6F69" w:rsidRPr="0039052D" w:rsidRDefault="005718AC" w:rsidP="00750CA9">
            <w:pPr>
              <w:pStyle w:val="Texteformulaire"/>
              <w:rPr>
                <w:color w:val="404040" w:themeColor="text1"/>
              </w:rPr>
            </w:pPr>
            <w:proofErr w:type="spellStart"/>
            <w:r w:rsidRPr="00750CA9">
              <w:t>Défis</w:t>
            </w:r>
            <w:proofErr w:type="spellEnd"/>
            <w:r w:rsidRPr="00750CA9">
              <w:t xml:space="preserve"> </w:t>
            </w:r>
            <w:r w:rsidR="00B46DFA" w:rsidRPr="00750CA9">
              <w:t xml:space="preserve">de </w:t>
            </w:r>
            <w:r w:rsidRPr="00750CA9">
              <w:t>coordina</w:t>
            </w:r>
            <w:r w:rsidR="00AB6F69" w:rsidRPr="00750CA9">
              <w:t xml:space="preserve">tion sur </w:t>
            </w:r>
            <w:r w:rsidR="00B46DFA" w:rsidRPr="00750CA9">
              <w:t xml:space="preserve">le </w:t>
            </w:r>
            <w:proofErr w:type="spellStart"/>
            <w:r w:rsidR="00B46DFA" w:rsidRPr="00750CA9">
              <w:t>programme</w:t>
            </w:r>
            <w:proofErr w:type="spellEnd"/>
            <w:r w:rsidR="00B46DFA" w:rsidRPr="00750CA9">
              <w:t xml:space="preserve"> </w:t>
            </w:r>
            <w:proofErr w:type="spellStart"/>
            <w:r w:rsidR="00AB6F69" w:rsidRPr="00750CA9">
              <w:t>préservatif</w:t>
            </w:r>
            <w:proofErr w:type="spellEnd"/>
            <w:r w:rsidR="00AB6F69" w:rsidRPr="00750CA9">
              <w:t> </w:t>
            </w:r>
            <w:r w:rsidR="00B46DFA" w:rsidRPr="00750CA9">
              <w:t>entre</w:t>
            </w:r>
            <w:r w:rsidR="00AB6F69" w:rsidRPr="00750CA9">
              <w:t xml:space="preserve"> les </w:t>
            </w:r>
            <w:proofErr w:type="spellStart"/>
            <w:r w:rsidR="00B46DFA" w:rsidRPr="00750CA9">
              <w:t>différents</w:t>
            </w:r>
            <w:proofErr w:type="spellEnd"/>
            <w:r w:rsidR="00B46DFA" w:rsidRPr="00750CA9">
              <w:t xml:space="preserve"> </w:t>
            </w:r>
            <w:proofErr w:type="spellStart"/>
            <w:r w:rsidR="00AB6F69" w:rsidRPr="00750CA9">
              <w:t>acteurs</w:t>
            </w:r>
            <w:proofErr w:type="spellEnd"/>
            <w:r w:rsidR="00AB6F69" w:rsidRPr="00750CA9">
              <w:t xml:space="preserve"> </w:t>
            </w:r>
          </w:p>
          <w:p w14:paraId="192FC140" w14:textId="7A0CF54F" w:rsidR="000D0B32" w:rsidRPr="00F0648C" w:rsidRDefault="00F0648C" w:rsidP="00F0648C">
            <w:pPr>
              <w:pStyle w:val="NormalJBGS"/>
              <w:rPr>
                <w:i w:val="0"/>
                <w:sz w:val="22"/>
                <w:szCs w:val="22"/>
                <w:lang w:val="fr-FR"/>
              </w:rPr>
            </w:pPr>
            <w:r w:rsidRPr="00F0648C">
              <w:rPr>
                <w:i w:val="0"/>
                <w:color w:val="auto"/>
                <w:sz w:val="22"/>
                <w:szCs w:val="22"/>
                <w:lang w:val="fr-CA"/>
              </w:rPr>
              <w:t xml:space="preserve">L’analyse de la revue du programme VIH prenant en compte les points suscités propose des solutions à travers des interventions spécifiques retrouvées dans le module prévention d’où la priorité portée sur ce dernier. </w:t>
            </w:r>
            <w:r w:rsidR="004E4290" w:rsidRPr="00F0648C">
              <w:rPr>
                <w:i w:val="0"/>
                <w:color w:val="auto"/>
                <w:sz w:val="22"/>
                <w:szCs w:val="22"/>
                <w:lang w:val="fr-FR"/>
              </w:rPr>
              <w:t xml:space="preserve"> </w:t>
            </w:r>
          </w:p>
        </w:tc>
      </w:tr>
      <w:tr w:rsidR="0098274C" w:rsidRPr="0037522B" w14:paraId="4E9BD60F" w14:textId="77777777" w:rsidTr="007A0F0B">
        <w:trPr>
          <w:trHeight w:val="288"/>
        </w:trPr>
        <w:tc>
          <w:tcPr>
            <w:tcW w:w="1701" w:type="dxa"/>
            <w:shd w:val="clear" w:color="auto" w:fill="F2F2F2"/>
            <w:vAlign w:val="center"/>
          </w:tcPr>
          <w:p w14:paraId="74FDD05A" w14:textId="77777777" w:rsidR="0098274C" w:rsidRPr="007F7A64" w:rsidRDefault="0098274C" w:rsidP="00E80CEF">
            <w:pPr>
              <w:spacing w:after="0"/>
              <w:rPr>
                <w:b/>
              </w:rPr>
            </w:pPr>
            <w:proofErr w:type="spellStart"/>
            <w:r w:rsidRPr="007F7A64">
              <w:rPr>
                <w:b/>
                <w:lang w:bidi="fr-FR"/>
              </w:rPr>
              <w:lastRenderedPageBreak/>
              <w:t>Résultats</w:t>
            </w:r>
            <w:proofErr w:type="spellEnd"/>
            <w:r w:rsidRPr="007F7A64">
              <w:rPr>
                <w:b/>
                <w:lang w:bidi="fr-FR"/>
              </w:rPr>
              <w:t xml:space="preserve"> </w:t>
            </w:r>
            <w:proofErr w:type="spellStart"/>
            <w:r w:rsidRPr="007F7A64">
              <w:rPr>
                <w:b/>
                <w:lang w:bidi="fr-FR"/>
              </w:rPr>
              <w:t>attendus</w:t>
            </w:r>
            <w:proofErr w:type="spellEnd"/>
          </w:p>
        </w:tc>
        <w:tc>
          <w:tcPr>
            <w:tcW w:w="9099" w:type="dxa"/>
          </w:tcPr>
          <w:p w14:paraId="1DECF53A" w14:textId="3E38C411" w:rsidR="00437468" w:rsidRPr="00306FB8" w:rsidRDefault="00437468" w:rsidP="004D0D5B">
            <w:pPr>
              <w:pStyle w:val="liste1"/>
            </w:pPr>
            <w:proofErr w:type="spellStart"/>
            <w:r w:rsidRPr="00306FB8">
              <w:t>L’utilisation</w:t>
            </w:r>
            <w:proofErr w:type="spellEnd"/>
            <w:r w:rsidRPr="00306FB8">
              <w:t xml:space="preserve"> </w:t>
            </w:r>
            <w:proofErr w:type="spellStart"/>
            <w:r w:rsidRPr="00306FB8">
              <w:t>systématique</w:t>
            </w:r>
            <w:proofErr w:type="spellEnd"/>
            <w:r w:rsidRPr="00306FB8">
              <w:t xml:space="preserve"> du </w:t>
            </w:r>
            <w:proofErr w:type="spellStart"/>
            <w:r w:rsidRPr="00306FB8">
              <w:t>préservatif</w:t>
            </w:r>
            <w:proofErr w:type="spellEnd"/>
            <w:r w:rsidRPr="00306FB8">
              <w:t xml:space="preserve"> </w:t>
            </w:r>
            <w:proofErr w:type="spellStart"/>
            <w:r w:rsidRPr="00306FB8">
              <w:t>lors</w:t>
            </w:r>
            <w:proofErr w:type="spellEnd"/>
            <w:r w:rsidRPr="00306FB8">
              <w:t xml:space="preserve"> des rapports </w:t>
            </w:r>
            <w:proofErr w:type="spellStart"/>
            <w:r w:rsidRPr="00306FB8">
              <w:t>sexuels</w:t>
            </w:r>
            <w:proofErr w:type="spellEnd"/>
            <w:r w:rsidRPr="00306FB8">
              <w:t xml:space="preserve"> à </w:t>
            </w:r>
            <w:proofErr w:type="spellStart"/>
            <w:r w:rsidRPr="00306FB8">
              <w:t>risque</w:t>
            </w:r>
            <w:proofErr w:type="spellEnd"/>
            <w:r w:rsidRPr="00306FB8">
              <w:t xml:space="preserve"> sera effective chez 90% de </w:t>
            </w:r>
            <w:proofErr w:type="spellStart"/>
            <w:r w:rsidRPr="00306FB8">
              <w:t>personnes</w:t>
            </w:r>
            <w:proofErr w:type="spellEnd"/>
            <w:r w:rsidRPr="00306FB8">
              <w:t xml:space="preserve"> </w:t>
            </w:r>
            <w:proofErr w:type="spellStart"/>
            <w:r w:rsidRPr="00306FB8">
              <w:t>sexuellement</w:t>
            </w:r>
            <w:proofErr w:type="spellEnd"/>
            <w:r w:rsidRPr="00306FB8">
              <w:t xml:space="preserve"> actives, </w:t>
            </w:r>
            <w:proofErr w:type="spellStart"/>
            <w:r w:rsidRPr="00306FB8">
              <w:t>grâce</w:t>
            </w:r>
            <w:proofErr w:type="spellEnd"/>
            <w:r w:rsidRPr="00306FB8">
              <w:t xml:space="preserve"> à la promotion de </w:t>
            </w:r>
            <w:proofErr w:type="spellStart"/>
            <w:r w:rsidRPr="00306FB8">
              <w:t>l'usage</w:t>
            </w:r>
            <w:proofErr w:type="spellEnd"/>
            <w:r w:rsidRPr="00306FB8">
              <w:t xml:space="preserve"> du </w:t>
            </w:r>
            <w:proofErr w:type="spellStart"/>
            <w:r w:rsidRPr="00306FB8">
              <w:t>préservatif</w:t>
            </w:r>
            <w:proofErr w:type="spellEnd"/>
            <w:r w:rsidRPr="00306FB8">
              <w:t xml:space="preserve">, à la couverture à </w:t>
            </w:r>
            <w:r w:rsidR="008F7765">
              <w:t>90</w:t>
            </w:r>
            <w:r w:rsidRPr="00306FB8">
              <w:t xml:space="preserve">% des </w:t>
            </w:r>
            <w:proofErr w:type="spellStart"/>
            <w:r w:rsidRPr="00306FB8">
              <w:t>besoins</w:t>
            </w:r>
            <w:proofErr w:type="spellEnd"/>
            <w:r w:rsidRPr="00306FB8">
              <w:t xml:space="preserve"> </w:t>
            </w:r>
            <w:proofErr w:type="spellStart"/>
            <w:r w:rsidRPr="00306FB8">
              <w:t>nationaux</w:t>
            </w:r>
            <w:proofErr w:type="spellEnd"/>
            <w:r w:rsidRPr="00306FB8">
              <w:t xml:space="preserve"> </w:t>
            </w:r>
            <w:proofErr w:type="spellStart"/>
            <w:r w:rsidRPr="00306FB8">
              <w:t>en</w:t>
            </w:r>
            <w:proofErr w:type="spellEnd"/>
            <w:r w:rsidRPr="00306FB8">
              <w:t xml:space="preserve"> </w:t>
            </w:r>
            <w:proofErr w:type="spellStart"/>
            <w:r w:rsidRPr="00306FB8">
              <w:t>préservatifs</w:t>
            </w:r>
            <w:proofErr w:type="spellEnd"/>
            <w:r w:rsidRPr="00306FB8">
              <w:t xml:space="preserve"> et gels </w:t>
            </w:r>
            <w:proofErr w:type="spellStart"/>
            <w:r w:rsidRPr="00306FB8">
              <w:t>lubrifiants</w:t>
            </w:r>
            <w:proofErr w:type="spellEnd"/>
            <w:r w:rsidRPr="00306FB8">
              <w:t xml:space="preserve"> dans </w:t>
            </w:r>
            <w:proofErr w:type="spellStart"/>
            <w:r w:rsidRPr="00306FB8">
              <w:t>une</w:t>
            </w:r>
            <w:proofErr w:type="spellEnd"/>
            <w:r w:rsidRPr="00306FB8">
              <w:t xml:space="preserve"> </w:t>
            </w:r>
            <w:proofErr w:type="spellStart"/>
            <w:r w:rsidRPr="00306FB8">
              <w:t>approche</w:t>
            </w:r>
            <w:proofErr w:type="spellEnd"/>
            <w:r w:rsidRPr="00306FB8">
              <w:t xml:space="preserve"> de </w:t>
            </w:r>
            <w:proofErr w:type="spellStart"/>
            <w:r w:rsidRPr="00306FB8">
              <w:t>marché</w:t>
            </w:r>
            <w:proofErr w:type="spellEnd"/>
            <w:r w:rsidRPr="00306FB8">
              <w:t xml:space="preserve"> total, et à un </w:t>
            </w:r>
            <w:proofErr w:type="spellStart"/>
            <w:r w:rsidRPr="00306FB8">
              <w:t>accès</w:t>
            </w:r>
            <w:proofErr w:type="spellEnd"/>
            <w:r w:rsidRPr="00306FB8">
              <w:t xml:space="preserve"> aux </w:t>
            </w:r>
            <w:proofErr w:type="spellStart"/>
            <w:r w:rsidRPr="00306FB8">
              <w:t>préservatifs</w:t>
            </w:r>
            <w:proofErr w:type="spellEnd"/>
            <w:r w:rsidRPr="00306FB8">
              <w:t xml:space="preserve"> et gels </w:t>
            </w:r>
            <w:proofErr w:type="spellStart"/>
            <w:r w:rsidRPr="00306FB8">
              <w:t>lubrifiants</w:t>
            </w:r>
            <w:proofErr w:type="spellEnd"/>
            <w:r w:rsidRPr="00306FB8">
              <w:t xml:space="preserve"> pour </w:t>
            </w:r>
            <w:r w:rsidR="008F7765">
              <w:t>90</w:t>
            </w:r>
            <w:r w:rsidRPr="00306FB8">
              <w:t xml:space="preserve">% des </w:t>
            </w:r>
            <w:proofErr w:type="spellStart"/>
            <w:r w:rsidRPr="00306FB8">
              <w:t>adultes</w:t>
            </w:r>
            <w:proofErr w:type="spellEnd"/>
            <w:r w:rsidRPr="00306FB8">
              <w:t xml:space="preserve">, des </w:t>
            </w:r>
            <w:proofErr w:type="spellStart"/>
            <w:r w:rsidRPr="00306FB8">
              <w:t>jeunes</w:t>
            </w:r>
            <w:proofErr w:type="spellEnd"/>
            <w:r w:rsidRPr="00306FB8">
              <w:t xml:space="preserve"> et des adolescents.</w:t>
            </w:r>
          </w:p>
          <w:p w14:paraId="3D3195CE" w14:textId="22C69898" w:rsidR="00AA6899" w:rsidRPr="00306FB8" w:rsidRDefault="00B46DFA" w:rsidP="004D0D5B">
            <w:pPr>
              <w:pStyle w:val="liste1"/>
            </w:pPr>
            <w:r>
              <w:t>86</w:t>
            </w:r>
            <w:r w:rsidR="00AA6899" w:rsidRPr="00306FB8">
              <w:t xml:space="preserve">% des TS </w:t>
            </w:r>
            <w:proofErr w:type="spellStart"/>
            <w:r w:rsidR="00AA6899" w:rsidRPr="00306FB8">
              <w:t>bénéficient</w:t>
            </w:r>
            <w:proofErr w:type="spellEnd"/>
            <w:r w:rsidR="00AA6899" w:rsidRPr="00306FB8">
              <w:t xml:space="preserve"> de la </w:t>
            </w:r>
            <w:proofErr w:type="spellStart"/>
            <w:r w:rsidR="00AA6899" w:rsidRPr="00306FB8">
              <w:t>prévention</w:t>
            </w:r>
            <w:proofErr w:type="spellEnd"/>
            <w:r w:rsidR="00AA6899" w:rsidRPr="00306FB8">
              <w:t xml:space="preserve"> </w:t>
            </w:r>
            <w:proofErr w:type="spellStart"/>
            <w:r w:rsidR="00AA6899" w:rsidRPr="00306FB8">
              <w:t>combinée</w:t>
            </w:r>
            <w:proofErr w:type="spellEnd"/>
            <w:r w:rsidR="00AA6899" w:rsidRPr="00306FB8">
              <w:t xml:space="preserve"> </w:t>
            </w:r>
          </w:p>
          <w:p w14:paraId="324CE404" w14:textId="77777777" w:rsidR="00AA6899" w:rsidRPr="00306FB8" w:rsidRDefault="00AA6899" w:rsidP="004D0D5B">
            <w:pPr>
              <w:pStyle w:val="liste1"/>
            </w:pPr>
            <w:r w:rsidRPr="00306FB8">
              <w:t xml:space="preserve">70% des HSH </w:t>
            </w:r>
            <w:proofErr w:type="spellStart"/>
            <w:r w:rsidRPr="00306FB8">
              <w:t>bénéficient</w:t>
            </w:r>
            <w:proofErr w:type="spellEnd"/>
            <w:r w:rsidRPr="00306FB8">
              <w:t xml:space="preserve"> de la </w:t>
            </w:r>
            <w:proofErr w:type="spellStart"/>
            <w:r w:rsidRPr="00306FB8">
              <w:t>prévention</w:t>
            </w:r>
            <w:proofErr w:type="spellEnd"/>
            <w:r w:rsidRPr="00306FB8">
              <w:t xml:space="preserve"> </w:t>
            </w:r>
            <w:proofErr w:type="spellStart"/>
            <w:r w:rsidRPr="00306FB8">
              <w:t>combinée</w:t>
            </w:r>
            <w:proofErr w:type="spellEnd"/>
          </w:p>
          <w:p w14:paraId="4AD441AC" w14:textId="37D8BF95" w:rsidR="00AA6899" w:rsidRPr="00306FB8" w:rsidRDefault="00B46DFA" w:rsidP="004D0D5B">
            <w:pPr>
              <w:pStyle w:val="liste1"/>
            </w:pPr>
            <w:r>
              <w:t>8</w:t>
            </w:r>
            <w:r w:rsidR="008F7765">
              <w:t>6,3</w:t>
            </w:r>
            <w:r w:rsidR="00AA6899" w:rsidRPr="00306FB8">
              <w:t xml:space="preserve">% des UD </w:t>
            </w:r>
            <w:proofErr w:type="spellStart"/>
            <w:r w:rsidR="00AA6899" w:rsidRPr="00306FB8">
              <w:t>bénéficient</w:t>
            </w:r>
            <w:proofErr w:type="spellEnd"/>
            <w:r w:rsidR="00AA6899" w:rsidRPr="00306FB8">
              <w:t xml:space="preserve"> de la </w:t>
            </w:r>
            <w:proofErr w:type="spellStart"/>
            <w:r w:rsidR="00AA6899" w:rsidRPr="00306FB8">
              <w:t>prévention</w:t>
            </w:r>
            <w:proofErr w:type="spellEnd"/>
            <w:r w:rsidR="00AA6899" w:rsidRPr="00306FB8">
              <w:t xml:space="preserve"> </w:t>
            </w:r>
            <w:proofErr w:type="spellStart"/>
            <w:r w:rsidR="00AA6899" w:rsidRPr="00306FB8">
              <w:t>combinée</w:t>
            </w:r>
            <w:proofErr w:type="spellEnd"/>
          </w:p>
          <w:p w14:paraId="1BAEBD2C" w14:textId="77777777" w:rsidR="0098274C" w:rsidRPr="00306FB8" w:rsidRDefault="00AA6899" w:rsidP="004D0D5B">
            <w:pPr>
              <w:pStyle w:val="liste1"/>
            </w:pPr>
            <w:r w:rsidRPr="00750CA9">
              <w:t>72%</w:t>
            </w:r>
            <w:r w:rsidRPr="00306FB8">
              <w:t xml:space="preserve"> </w:t>
            </w:r>
            <w:proofErr w:type="spellStart"/>
            <w:r w:rsidRPr="00306FB8">
              <w:t>d'adolescent</w:t>
            </w:r>
            <w:proofErr w:type="spellEnd"/>
            <w:r w:rsidRPr="00306FB8">
              <w:t>(e)</w:t>
            </w:r>
            <w:proofErr w:type="spellStart"/>
            <w:r w:rsidRPr="00306FB8">
              <w:t>s et</w:t>
            </w:r>
            <w:proofErr w:type="spellEnd"/>
            <w:r w:rsidRPr="00306FB8">
              <w:t xml:space="preserve"> </w:t>
            </w:r>
            <w:proofErr w:type="spellStart"/>
            <w:r w:rsidRPr="00306FB8">
              <w:t>jeunes</w:t>
            </w:r>
            <w:proofErr w:type="spellEnd"/>
            <w:r w:rsidRPr="00306FB8">
              <w:t xml:space="preserve"> </w:t>
            </w:r>
            <w:proofErr w:type="spellStart"/>
            <w:r w:rsidRPr="00306FB8">
              <w:t>filles</w:t>
            </w:r>
            <w:proofErr w:type="spellEnd"/>
            <w:r w:rsidRPr="00306FB8">
              <w:t xml:space="preserve"> et garçons de 10-24 </w:t>
            </w:r>
            <w:proofErr w:type="spellStart"/>
            <w:r w:rsidRPr="00306FB8">
              <w:t>ans</w:t>
            </w:r>
            <w:proofErr w:type="spellEnd"/>
            <w:r w:rsidRPr="00306FB8">
              <w:t xml:space="preserve"> </w:t>
            </w:r>
            <w:proofErr w:type="spellStart"/>
            <w:r w:rsidRPr="00306FB8">
              <w:t>sensibilisés</w:t>
            </w:r>
            <w:proofErr w:type="spellEnd"/>
            <w:r w:rsidRPr="00306FB8">
              <w:t xml:space="preserve"> sur les IST, le VIH et le </w:t>
            </w:r>
            <w:proofErr w:type="spellStart"/>
            <w:r w:rsidRPr="00306FB8">
              <w:t>sida</w:t>
            </w:r>
            <w:proofErr w:type="spellEnd"/>
          </w:p>
          <w:p w14:paraId="482F033B" w14:textId="10FFABF5" w:rsidR="00CC7E44" w:rsidRPr="00306FB8" w:rsidRDefault="00CC7E44">
            <w:pPr>
              <w:pStyle w:val="liste1"/>
            </w:pPr>
            <w:proofErr w:type="spellStart"/>
            <w:r w:rsidRPr="00306FB8">
              <w:t>L’offre</w:t>
            </w:r>
            <w:proofErr w:type="spellEnd"/>
            <w:r w:rsidRPr="00306FB8">
              <w:t xml:space="preserve"> de service </w:t>
            </w:r>
            <w:proofErr w:type="spellStart"/>
            <w:r w:rsidRPr="00306FB8">
              <w:t>adaptée</w:t>
            </w:r>
            <w:proofErr w:type="spellEnd"/>
            <w:r w:rsidRPr="00306FB8">
              <w:t xml:space="preserve"> de </w:t>
            </w:r>
            <w:proofErr w:type="spellStart"/>
            <w:r w:rsidRPr="00306FB8">
              <w:t>prévention</w:t>
            </w:r>
            <w:proofErr w:type="spellEnd"/>
            <w:r w:rsidRPr="00306FB8">
              <w:t xml:space="preserve"> </w:t>
            </w:r>
            <w:proofErr w:type="spellStart"/>
            <w:r w:rsidRPr="00306FB8">
              <w:t>permettra</w:t>
            </w:r>
            <w:proofErr w:type="spellEnd"/>
            <w:r w:rsidRPr="00306FB8">
              <w:t xml:space="preserve"> à </w:t>
            </w:r>
            <w:r w:rsidRPr="00750CA9">
              <w:t>70%</w:t>
            </w:r>
            <w:r w:rsidRPr="00306FB8">
              <w:t xml:space="preserve"> des </w:t>
            </w:r>
            <w:r w:rsidRPr="00306FB8">
              <w:rPr>
                <w:b/>
              </w:rPr>
              <w:t>adolescent(e)</w:t>
            </w:r>
            <w:proofErr w:type="spellStart"/>
            <w:r w:rsidRPr="00306FB8">
              <w:rPr>
                <w:b/>
              </w:rPr>
              <w:t>s et</w:t>
            </w:r>
            <w:proofErr w:type="spellEnd"/>
            <w:r w:rsidRPr="00306FB8">
              <w:rPr>
                <w:b/>
              </w:rPr>
              <w:t xml:space="preserve"> </w:t>
            </w:r>
            <w:proofErr w:type="spellStart"/>
            <w:r w:rsidRPr="00306FB8">
              <w:rPr>
                <w:b/>
              </w:rPr>
              <w:t>jeunes</w:t>
            </w:r>
            <w:proofErr w:type="spellEnd"/>
            <w:r w:rsidRPr="00306FB8">
              <w:rPr>
                <w:b/>
              </w:rPr>
              <w:t xml:space="preserve"> de 15-24 </w:t>
            </w:r>
            <w:proofErr w:type="spellStart"/>
            <w:r w:rsidRPr="00306FB8">
              <w:rPr>
                <w:b/>
              </w:rPr>
              <w:t>ans</w:t>
            </w:r>
            <w:proofErr w:type="spellEnd"/>
            <w:r w:rsidRPr="00306FB8">
              <w:t xml:space="preserve"> de disposer de </w:t>
            </w:r>
            <w:proofErr w:type="spellStart"/>
            <w:r w:rsidRPr="00306FB8">
              <w:t>compétences</w:t>
            </w:r>
            <w:proofErr w:type="spellEnd"/>
            <w:r w:rsidRPr="00306FB8">
              <w:t xml:space="preserve"> </w:t>
            </w:r>
            <w:proofErr w:type="spellStart"/>
            <w:r w:rsidRPr="00306FB8">
              <w:t>adaptées</w:t>
            </w:r>
            <w:proofErr w:type="spellEnd"/>
            <w:r w:rsidRPr="00306FB8">
              <w:t xml:space="preserve"> pour se </w:t>
            </w:r>
            <w:proofErr w:type="spellStart"/>
            <w:r w:rsidRPr="00306FB8">
              <w:t>protéger</w:t>
            </w:r>
            <w:proofErr w:type="spellEnd"/>
            <w:r w:rsidRPr="00306FB8">
              <w:t xml:space="preserve"> du VIH et des IST, et à 100% de </w:t>
            </w:r>
            <w:proofErr w:type="spellStart"/>
            <w:r w:rsidRPr="00306FB8">
              <w:t>jeunes</w:t>
            </w:r>
            <w:proofErr w:type="spellEnd"/>
            <w:r w:rsidRPr="00306FB8">
              <w:t xml:space="preserve"> et adolescents </w:t>
            </w:r>
            <w:proofErr w:type="spellStart"/>
            <w:r w:rsidRPr="00306FB8">
              <w:t>présentant</w:t>
            </w:r>
            <w:proofErr w:type="spellEnd"/>
            <w:r w:rsidRPr="00306FB8">
              <w:t xml:space="preserve"> </w:t>
            </w:r>
            <w:proofErr w:type="spellStart"/>
            <w:r w:rsidRPr="00306FB8">
              <w:t>une</w:t>
            </w:r>
            <w:proofErr w:type="spellEnd"/>
            <w:r w:rsidRPr="00306FB8">
              <w:t xml:space="preserve"> IST de </w:t>
            </w:r>
            <w:proofErr w:type="spellStart"/>
            <w:r w:rsidRPr="00306FB8">
              <w:t>bénéficier</w:t>
            </w:r>
            <w:proofErr w:type="spellEnd"/>
            <w:r w:rsidRPr="00306FB8">
              <w:t xml:space="preserve"> </w:t>
            </w:r>
            <w:proofErr w:type="spellStart"/>
            <w:r w:rsidRPr="00306FB8">
              <w:t>d’une</w:t>
            </w:r>
            <w:proofErr w:type="spellEnd"/>
            <w:r w:rsidRPr="00306FB8">
              <w:t xml:space="preserve"> </w:t>
            </w:r>
            <w:proofErr w:type="spellStart"/>
            <w:r w:rsidRPr="00306FB8">
              <w:t>prise</w:t>
            </w:r>
            <w:proofErr w:type="spellEnd"/>
            <w:r w:rsidRPr="00306FB8">
              <w:t xml:space="preserve"> </w:t>
            </w:r>
            <w:proofErr w:type="spellStart"/>
            <w:r w:rsidRPr="00306FB8">
              <w:t>en</w:t>
            </w:r>
            <w:proofErr w:type="spellEnd"/>
            <w:r w:rsidRPr="00306FB8">
              <w:t xml:space="preserve"> charge </w:t>
            </w:r>
            <w:proofErr w:type="spellStart"/>
            <w:r w:rsidRPr="00306FB8">
              <w:t>gratuite</w:t>
            </w:r>
            <w:proofErr w:type="spellEnd"/>
            <w:r w:rsidRPr="00306FB8">
              <w:t xml:space="preserve">, </w:t>
            </w:r>
            <w:proofErr w:type="spellStart"/>
            <w:r w:rsidRPr="00306FB8">
              <w:t>particulièrement</w:t>
            </w:r>
            <w:proofErr w:type="spellEnd"/>
            <w:r w:rsidRPr="00306FB8">
              <w:t xml:space="preserve"> dans les districts </w:t>
            </w:r>
            <w:proofErr w:type="spellStart"/>
            <w:r w:rsidRPr="00306FB8">
              <w:t>prioritaires</w:t>
            </w:r>
            <w:proofErr w:type="spellEnd"/>
            <w:r w:rsidRPr="00306FB8">
              <w:t xml:space="preserve">, </w:t>
            </w:r>
            <w:proofErr w:type="spellStart"/>
            <w:r w:rsidRPr="00306FB8">
              <w:t>selon</w:t>
            </w:r>
            <w:proofErr w:type="spellEnd"/>
            <w:r w:rsidRPr="00306FB8">
              <w:t xml:space="preserve"> des </w:t>
            </w:r>
            <w:proofErr w:type="spellStart"/>
            <w:r w:rsidRPr="00306FB8">
              <w:t>approches</w:t>
            </w:r>
            <w:proofErr w:type="spellEnd"/>
            <w:r w:rsidRPr="00306FB8">
              <w:t xml:space="preserve"> </w:t>
            </w:r>
            <w:proofErr w:type="spellStart"/>
            <w:r w:rsidRPr="00306FB8">
              <w:t>différenciées</w:t>
            </w:r>
            <w:proofErr w:type="spellEnd"/>
            <w:r w:rsidRPr="00306FB8">
              <w:t xml:space="preserve"> et avec </w:t>
            </w:r>
            <w:proofErr w:type="spellStart"/>
            <w:r w:rsidRPr="00306FB8">
              <w:t>l'appui</w:t>
            </w:r>
            <w:proofErr w:type="spellEnd"/>
            <w:r w:rsidRPr="00306FB8">
              <w:t xml:space="preserve"> des </w:t>
            </w:r>
            <w:proofErr w:type="spellStart"/>
            <w:r w:rsidRPr="00306FB8">
              <w:t>acteurs</w:t>
            </w:r>
            <w:proofErr w:type="spellEnd"/>
            <w:r w:rsidRPr="00306FB8">
              <w:t xml:space="preserve"> </w:t>
            </w:r>
            <w:proofErr w:type="spellStart"/>
            <w:r w:rsidRPr="00306FB8">
              <w:t>communautaires</w:t>
            </w:r>
            <w:proofErr w:type="spellEnd"/>
          </w:p>
        </w:tc>
      </w:tr>
      <w:tr w:rsidR="0098274C" w:rsidRPr="004E4290" w14:paraId="4C3A7A47" w14:textId="77777777" w:rsidTr="007A0F0B">
        <w:trPr>
          <w:trHeight w:val="288"/>
        </w:trPr>
        <w:tc>
          <w:tcPr>
            <w:tcW w:w="1701" w:type="dxa"/>
            <w:shd w:val="clear" w:color="auto" w:fill="F2F2F2"/>
            <w:vAlign w:val="center"/>
          </w:tcPr>
          <w:p w14:paraId="4B6FDF4E" w14:textId="77777777" w:rsidR="0098274C" w:rsidRPr="00C44844" w:rsidRDefault="0098274C" w:rsidP="00E80CEF">
            <w:pPr>
              <w:spacing w:after="0"/>
              <w:rPr>
                <w:b/>
              </w:rPr>
            </w:pPr>
            <w:proofErr w:type="spellStart"/>
            <w:r w:rsidRPr="007F7A64">
              <w:rPr>
                <w:b/>
                <w:lang w:bidi="fr-FR"/>
              </w:rPr>
              <w:t>Investissement</w:t>
            </w:r>
            <w:proofErr w:type="spellEnd"/>
            <w:r w:rsidRPr="007F7A64">
              <w:rPr>
                <w:b/>
                <w:lang w:bidi="fr-FR"/>
              </w:rPr>
              <w:t xml:space="preserve"> </w:t>
            </w:r>
            <w:proofErr w:type="spellStart"/>
            <w:r w:rsidRPr="007F7A64">
              <w:rPr>
                <w:b/>
                <w:lang w:bidi="fr-FR"/>
              </w:rPr>
              <w:t>attendu</w:t>
            </w:r>
            <w:proofErr w:type="spellEnd"/>
          </w:p>
        </w:tc>
        <w:tc>
          <w:tcPr>
            <w:tcW w:w="9099" w:type="dxa"/>
          </w:tcPr>
          <w:p w14:paraId="1DD695B8" w14:textId="5A5943E7" w:rsidR="0098274C" w:rsidRPr="00EC591F" w:rsidRDefault="000861AA" w:rsidP="000861AA">
            <w:pPr>
              <w:pStyle w:val="Texteformulaire"/>
              <w:rPr>
                <w:b/>
                <w:bCs/>
                <w:highlight w:val="yellow"/>
              </w:rPr>
            </w:pPr>
            <w:r w:rsidRPr="002D0EC2">
              <w:rPr>
                <w:b/>
                <w:bCs/>
                <w:color w:val="FF0000"/>
              </w:rPr>
              <w:t>1</w:t>
            </w:r>
            <w:r w:rsidR="00761126">
              <w:rPr>
                <w:b/>
                <w:bCs/>
                <w:color w:val="FF0000"/>
              </w:rPr>
              <w:t>0</w:t>
            </w:r>
            <w:r w:rsidRPr="002D0EC2">
              <w:rPr>
                <w:b/>
                <w:bCs/>
                <w:color w:val="FF0000"/>
              </w:rPr>
              <w:t> </w:t>
            </w:r>
            <w:r w:rsidR="00761126">
              <w:rPr>
                <w:b/>
                <w:bCs/>
                <w:color w:val="FF0000"/>
              </w:rPr>
              <w:t>194</w:t>
            </w:r>
            <w:r w:rsidRPr="002D0EC2">
              <w:rPr>
                <w:b/>
                <w:bCs/>
                <w:color w:val="FF0000"/>
              </w:rPr>
              <w:t> </w:t>
            </w:r>
            <w:r w:rsidR="00761126">
              <w:rPr>
                <w:b/>
                <w:bCs/>
                <w:color w:val="FF0000"/>
              </w:rPr>
              <w:t>87</w:t>
            </w:r>
            <w:r w:rsidR="00661CE1" w:rsidRPr="002D0EC2">
              <w:rPr>
                <w:b/>
                <w:bCs/>
                <w:color w:val="FF0000"/>
              </w:rPr>
              <w:t>6</w:t>
            </w:r>
            <w:r w:rsidRPr="002D0EC2">
              <w:rPr>
                <w:b/>
                <w:bCs/>
                <w:color w:val="FF0000"/>
              </w:rPr>
              <w:t xml:space="preserve"> euros (</w:t>
            </w:r>
            <w:r w:rsidR="00EF66DC" w:rsidRPr="002D0EC2">
              <w:rPr>
                <w:b/>
                <w:bCs/>
                <w:color w:val="FF0000"/>
              </w:rPr>
              <w:t>1</w:t>
            </w:r>
            <w:r w:rsidR="00761126">
              <w:rPr>
                <w:b/>
                <w:bCs/>
                <w:color w:val="FF0000"/>
              </w:rPr>
              <w:t>3</w:t>
            </w:r>
            <w:r w:rsidR="00EF66DC" w:rsidRPr="002D0EC2">
              <w:rPr>
                <w:b/>
                <w:bCs/>
                <w:color w:val="FF0000"/>
              </w:rPr>
              <w:t>%)</w:t>
            </w:r>
          </w:p>
        </w:tc>
      </w:tr>
    </w:tbl>
    <w:p w14:paraId="7A71C5BD" w14:textId="19F34302" w:rsidR="0098274C" w:rsidRPr="00E80CEF" w:rsidRDefault="0098274C" w:rsidP="009B6C0D">
      <w:pPr>
        <w:spacing w:after="0"/>
      </w:pPr>
    </w:p>
    <w:tbl>
      <w:tblPr>
        <w:tblStyle w:val="TableGrid30"/>
        <w:tblW w:w="10800" w:type="dxa"/>
        <w:tblInd w:w="-5" w:type="dxa"/>
        <w:tblLook w:val="04A0" w:firstRow="1" w:lastRow="0" w:firstColumn="1" w:lastColumn="0" w:noHBand="0" w:noVBand="1"/>
      </w:tblPr>
      <w:tblGrid>
        <w:gridCol w:w="1662"/>
        <w:gridCol w:w="9138"/>
      </w:tblGrid>
      <w:tr w:rsidR="00E97A2E" w:rsidRPr="00390EA4" w14:paraId="6109BC34" w14:textId="77777777" w:rsidTr="00390EA4">
        <w:trPr>
          <w:trHeight w:val="424"/>
        </w:trPr>
        <w:tc>
          <w:tcPr>
            <w:tcW w:w="1560" w:type="dxa"/>
            <w:shd w:val="clear" w:color="auto" w:fill="F2F2F2"/>
            <w:vAlign w:val="center"/>
          </w:tcPr>
          <w:p w14:paraId="53D98554" w14:textId="77777777" w:rsidR="00E97A2E" w:rsidRPr="00390EA4" w:rsidRDefault="00E97A2E">
            <w:pPr>
              <w:spacing w:after="0"/>
              <w:rPr>
                <w:b/>
                <w:sz w:val="22"/>
                <w:szCs w:val="22"/>
              </w:rPr>
            </w:pPr>
            <w:bookmarkStart w:id="16" w:name="_Hlk40769071"/>
            <w:proofErr w:type="gramStart"/>
            <w:r w:rsidRPr="00390EA4">
              <w:rPr>
                <w:b/>
                <w:sz w:val="22"/>
                <w:szCs w:val="22"/>
                <w:lang w:bidi="fr-FR"/>
              </w:rPr>
              <w:t>N</w:t>
            </w:r>
            <w:r w:rsidRPr="00390EA4">
              <w:rPr>
                <w:b/>
                <w:sz w:val="22"/>
                <w:szCs w:val="22"/>
                <w:vertAlign w:val="superscript"/>
                <w:lang w:bidi="fr-FR"/>
              </w:rPr>
              <w:t>o</w:t>
            </w:r>
            <w:proofErr w:type="gramEnd"/>
            <w:r w:rsidRPr="00390EA4">
              <w:rPr>
                <w:b/>
                <w:sz w:val="22"/>
                <w:szCs w:val="22"/>
                <w:lang w:bidi="fr-FR"/>
              </w:rPr>
              <w:t xml:space="preserve"> de module</w:t>
            </w:r>
          </w:p>
        </w:tc>
        <w:tc>
          <w:tcPr>
            <w:tcW w:w="9240" w:type="dxa"/>
            <w:vAlign w:val="center"/>
          </w:tcPr>
          <w:p w14:paraId="5ADCBB49" w14:textId="63988168" w:rsidR="00E97A2E" w:rsidRPr="00390EA4" w:rsidRDefault="00D15EE6" w:rsidP="00FC6510">
            <w:pPr>
              <w:spacing w:after="0"/>
              <w:rPr>
                <w:b/>
                <w:sz w:val="22"/>
                <w:szCs w:val="22"/>
              </w:rPr>
            </w:pPr>
            <w:r w:rsidRPr="00750CA9">
              <w:rPr>
                <w:b/>
                <w:sz w:val="22"/>
                <w:lang w:val="fr-FR"/>
              </w:rPr>
              <w:t>Module 2</w:t>
            </w:r>
            <w:r w:rsidR="004D0D5B" w:rsidRPr="00750CA9">
              <w:rPr>
                <w:b/>
                <w:sz w:val="22"/>
                <w:lang w:val="fr-FR"/>
              </w:rPr>
              <w:t xml:space="preserve"> </w:t>
            </w:r>
            <w:r w:rsidRPr="00750CA9">
              <w:rPr>
                <w:b/>
                <w:sz w:val="22"/>
                <w:lang w:val="fr-FR"/>
              </w:rPr>
              <w:t xml:space="preserve">:  </w:t>
            </w:r>
            <w:r w:rsidR="00146119" w:rsidRPr="00390EA4">
              <w:rPr>
                <w:rFonts w:cs="Arial"/>
                <w:b/>
                <w:sz w:val="22"/>
                <w:szCs w:val="22"/>
                <w:lang w:val="fr-CI"/>
              </w:rPr>
              <w:t>Prévention de la Transmission Mère-Enfant du VIH (</w:t>
            </w:r>
            <w:r w:rsidRPr="00750CA9">
              <w:rPr>
                <w:b/>
                <w:sz w:val="22"/>
                <w:lang w:val="fr-FR"/>
              </w:rPr>
              <w:t>PTME</w:t>
            </w:r>
            <w:r w:rsidR="00146119" w:rsidRPr="00750CA9">
              <w:rPr>
                <w:b/>
                <w:sz w:val="22"/>
                <w:lang w:val="fr-FR"/>
              </w:rPr>
              <w:t>)</w:t>
            </w:r>
          </w:p>
        </w:tc>
      </w:tr>
      <w:bookmarkEnd w:id="16"/>
      <w:tr w:rsidR="00E97A2E" w:rsidRPr="0037522B" w14:paraId="6855A21A" w14:textId="77777777" w:rsidTr="007A0F0B">
        <w:trPr>
          <w:trHeight w:val="288"/>
        </w:trPr>
        <w:tc>
          <w:tcPr>
            <w:tcW w:w="1560" w:type="dxa"/>
            <w:shd w:val="clear" w:color="auto" w:fill="F2F2F2"/>
            <w:vAlign w:val="center"/>
          </w:tcPr>
          <w:p w14:paraId="4D860B2E" w14:textId="77777777" w:rsidR="00E97A2E" w:rsidRPr="007F7A64" w:rsidRDefault="00E97A2E" w:rsidP="00E80CEF">
            <w:pPr>
              <w:spacing w:after="0"/>
              <w:rPr>
                <w:b/>
              </w:rPr>
            </w:pPr>
            <w:proofErr w:type="spellStart"/>
            <w:r w:rsidRPr="007F7A64">
              <w:rPr>
                <w:b/>
                <w:lang w:bidi="fr-FR"/>
              </w:rPr>
              <w:t>Principales</w:t>
            </w:r>
            <w:proofErr w:type="spellEnd"/>
            <w:r w:rsidRPr="007F7A64">
              <w:rPr>
                <w:b/>
                <w:lang w:bidi="fr-FR"/>
              </w:rPr>
              <w:t xml:space="preserve"> interventions et </w:t>
            </w:r>
            <w:proofErr w:type="spellStart"/>
            <w:r w:rsidRPr="007F7A64">
              <w:rPr>
                <w:b/>
                <w:lang w:bidi="fr-FR"/>
              </w:rPr>
              <w:t>activités</w:t>
            </w:r>
            <w:proofErr w:type="spellEnd"/>
          </w:p>
        </w:tc>
        <w:tc>
          <w:tcPr>
            <w:tcW w:w="9240" w:type="dxa"/>
          </w:tcPr>
          <w:p w14:paraId="197C48C3" w14:textId="4FA19FFB" w:rsidR="00146119" w:rsidRPr="004D0D5B" w:rsidRDefault="00B1010C" w:rsidP="006F6940">
            <w:pPr>
              <w:pStyle w:val="Default"/>
              <w:numPr>
                <w:ilvl w:val="0"/>
                <w:numId w:val="38"/>
              </w:numPr>
              <w:rPr>
                <w:b/>
                <w:iCs/>
                <w:sz w:val="22"/>
                <w:szCs w:val="22"/>
                <w:lang w:val="fr-CI"/>
              </w:rPr>
            </w:pPr>
            <w:r>
              <w:rPr>
                <w:b/>
                <w:iCs/>
                <w:color w:val="auto"/>
                <w:sz w:val="22"/>
                <w:szCs w:val="22"/>
                <w:lang w:val="fr-CI"/>
              </w:rPr>
              <w:t xml:space="preserve">Volet 1 : </w:t>
            </w:r>
            <w:r w:rsidR="00146119" w:rsidRPr="004D0D5B">
              <w:rPr>
                <w:b/>
                <w:iCs/>
                <w:color w:val="auto"/>
                <w:sz w:val="22"/>
                <w:szCs w:val="22"/>
                <w:lang w:val="fr-CI"/>
              </w:rPr>
              <w:t>Prévention primaire de l’infection à VIH chez les femmes en âge de procréer</w:t>
            </w:r>
            <w:r w:rsidR="0075151D" w:rsidRPr="004D0D5B">
              <w:rPr>
                <w:b/>
                <w:iCs/>
                <w:color w:val="auto"/>
                <w:sz w:val="22"/>
                <w:szCs w:val="22"/>
                <w:lang w:val="fr-CI"/>
              </w:rPr>
              <w:t> </w:t>
            </w:r>
          </w:p>
          <w:p w14:paraId="1E3DFE51" w14:textId="1BDA64C0" w:rsidR="004568EA" w:rsidRDefault="00146119" w:rsidP="004568EA">
            <w:pPr>
              <w:pStyle w:val="Texteformulaire"/>
              <w:rPr>
                <w:lang w:val="fr-FR"/>
              </w:rPr>
            </w:pPr>
            <w:r w:rsidRPr="00666832">
              <w:rPr>
                <w:lang w:val="fr-CI"/>
              </w:rPr>
              <w:t xml:space="preserve">Dans le cadre </w:t>
            </w:r>
            <w:r>
              <w:rPr>
                <w:lang w:val="fr-CI"/>
              </w:rPr>
              <w:t>d</w:t>
            </w:r>
            <w:r w:rsidR="004568EA">
              <w:rPr>
                <w:lang w:val="fr-CI"/>
              </w:rPr>
              <w:t>u Volet 1 de</w:t>
            </w:r>
            <w:r>
              <w:rPr>
                <w:lang w:val="fr-CI"/>
              </w:rPr>
              <w:t xml:space="preserve"> l’</w:t>
            </w:r>
            <w:proofErr w:type="spellStart"/>
            <w:r>
              <w:rPr>
                <w:lang w:val="fr-CI"/>
              </w:rPr>
              <w:t>e</w:t>
            </w:r>
            <w:r w:rsidRPr="00666832">
              <w:rPr>
                <w:lang w:val="fr-CI"/>
              </w:rPr>
              <w:t>TME</w:t>
            </w:r>
            <w:proofErr w:type="spellEnd"/>
            <w:r w:rsidRPr="00666832">
              <w:rPr>
                <w:lang w:val="fr-CI"/>
              </w:rPr>
              <w:t xml:space="preserve">, le PSN </w:t>
            </w:r>
            <w:r w:rsidR="0002374C">
              <w:rPr>
                <w:lang w:val="fr-CI"/>
              </w:rPr>
              <w:t xml:space="preserve">VIH </w:t>
            </w:r>
            <w:r w:rsidRPr="00666832">
              <w:rPr>
                <w:lang w:val="fr-CI"/>
              </w:rPr>
              <w:t>2021-2025</w:t>
            </w:r>
            <w:r w:rsidR="00806742">
              <w:rPr>
                <w:lang w:val="fr-CI"/>
              </w:rPr>
              <w:t xml:space="preserve"> </w:t>
            </w:r>
            <w:r w:rsidR="0002374C" w:rsidRPr="0002374C">
              <w:rPr>
                <w:i/>
              </w:rPr>
              <w:t>(</w:t>
            </w:r>
            <w:proofErr w:type="spellStart"/>
            <w:r w:rsidR="0002374C" w:rsidRPr="0002374C">
              <w:rPr>
                <w:i/>
              </w:rPr>
              <w:t>Annexe</w:t>
            </w:r>
            <w:proofErr w:type="spellEnd"/>
            <w:r w:rsidR="0002374C" w:rsidRPr="0002374C">
              <w:rPr>
                <w:i/>
              </w:rPr>
              <w:t xml:space="preserve"> </w:t>
            </w:r>
            <w:r w:rsidR="0002374C">
              <w:rPr>
                <w:i/>
              </w:rPr>
              <w:t>3</w:t>
            </w:r>
            <w:r w:rsidR="0002374C" w:rsidRPr="0002374C">
              <w:rPr>
                <w:i/>
              </w:rPr>
              <w:t>)</w:t>
            </w:r>
            <w:r w:rsidRPr="00666832">
              <w:rPr>
                <w:lang w:val="fr-CI"/>
              </w:rPr>
              <w:t xml:space="preserve"> a identifié </w:t>
            </w:r>
            <w:r w:rsidR="004568EA">
              <w:rPr>
                <w:lang w:val="fr-CI"/>
              </w:rPr>
              <w:t>comme</w:t>
            </w:r>
            <w:r w:rsidR="004568EA" w:rsidRPr="00666832">
              <w:rPr>
                <w:lang w:val="fr-CI"/>
              </w:rPr>
              <w:t xml:space="preserve"> </w:t>
            </w:r>
            <w:r w:rsidRPr="00666832">
              <w:rPr>
                <w:lang w:val="fr-CI"/>
              </w:rPr>
              <w:t>défi</w:t>
            </w:r>
            <w:r w:rsidR="004568EA">
              <w:rPr>
                <w:lang w:val="fr-CI"/>
              </w:rPr>
              <w:t xml:space="preserve"> global la faible utilisation des services </w:t>
            </w:r>
            <w:r w:rsidR="00F21C98">
              <w:rPr>
                <w:lang w:val="fr-CI"/>
              </w:rPr>
              <w:t>de santé maternelle et infantile par les femmes en âge de procréer, ayant pour conséquences</w:t>
            </w:r>
            <w:r w:rsidR="004568EA">
              <w:rPr>
                <w:lang w:val="fr-FR"/>
              </w:rPr>
              <w:t xml:space="preserve"> : (i) </w:t>
            </w:r>
            <w:r w:rsidR="00B1010C" w:rsidRPr="00750CA9">
              <w:rPr>
                <w:lang w:val="fr-FR"/>
              </w:rPr>
              <w:t>la méconnaissance de leur statut sérologique VIH par les femmes en âge de procréer (connaitre son statut permet d’adopter des moyens de prévention garantissant de futures grossesses protégées contre le VIH)</w:t>
            </w:r>
            <w:r w:rsidR="004568EA" w:rsidRPr="00750CA9">
              <w:rPr>
                <w:lang w:val="fr-FR"/>
              </w:rPr>
              <w:t xml:space="preserve"> ; (ii) le faible nombre de femmes enceintes dépistées au cours du premier trimestre de la grossesse (seulement 34% des FE sont vues en CPN1 au 1</w:t>
            </w:r>
            <w:r w:rsidR="004568EA" w:rsidRPr="00750CA9">
              <w:rPr>
                <w:vertAlign w:val="superscript"/>
                <w:lang w:val="fr-FR"/>
              </w:rPr>
              <w:t>er</w:t>
            </w:r>
            <w:r w:rsidR="004568EA" w:rsidRPr="00750CA9">
              <w:rPr>
                <w:lang w:val="fr-FR"/>
              </w:rPr>
              <w:t xml:space="preserve"> trimestre de grossesse).</w:t>
            </w:r>
          </w:p>
          <w:p w14:paraId="703719D1" w14:textId="31190F90" w:rsidR="00B1010C" w:rsidRPr="00390EA4" w:rsidRDefault="004568EA" w:rsidP="00390EA4">
            <w:pPr>
              <w:pStyle w:val="Texteformulaire"/>
              <w:rPr>
                <w:lang w:val="fr-CI"/>
              </w:rPr>
            </w:pPr>
            <w:r>
              <w:rPr>
                <w:lang w:val="fr-CI"/>
              </w:rPr>
              <w:t>Pour répondre à ces défis, ce</w:t>
            </w:r>
            <w:r w:rsidR="00146119" w:rsidRPr="00666832">
              <w:rPr>
                <w:lang w:val="fr-CI"/>
              </w:rPr>
              <w:t xml:space="preserve">tte intervention </w:t>
            </w:r>
            <w:r>
              <w:rPr>
                <w:lang w:val="fr-CI"/>
              </w:rPr>
              <w:t>mettra</w:t>
            </w:r>
            <w:r w:rsidR="00146119" w:rsidRPr="00666832">
              <w:rPr>
                <w:lang w:val="fr-CI"/>
              </w:rPr>
              <w:t xml:space="preserve"> en œuvre un ensemble d’activités de sensibilisation et de communication afin d’éviter les nouvelles contaminations VIH </w:t>
            </w:r>
            <w:r>
              <w:rPr>
                <w:lang w:val="fr-CI"/>
              </w:rPr>
              <w:t>chez l</w:t>
            </w:r>
            <w:r w:rsidRPr="00666832">
              <w:rPr>
                <w:lang w:val="fr-CI"/>
              </w:rPr>
              <w:t xml:space="preserve">es </w:t>
            </w:r>
            <w:r>
              <w:rPr>
                <w:lang w:val="fr-CI"/>
              </w:rPr>
              <w:t xml:space="preserve">femmes en âge de procréer </w:t>
            </w:r>
            <w:r w:rsidR="00146119" w:rsidRPr="00666832">
              <w:rPr>
                <w:lang w:val="fr-CI"/>
              </w:rPr>
              <w:t>(rapports sexuels protégés, retardement de l’âge du premier rapport sexuel, etc.)</w:t>
            </w:r>
            <w:r>
              <w:rPr>
                <w:lang w:val="fr-CI"/>
              </w:rPr>
              <w:t xml:space="preserve"> à travers le</w:t>
            </w:r>
            <w:r w:rsidRPr="00666832">
              <w:rPr>
                <w:lang w:val="fr-CI"/>
              </w:rPr>
              <w:t xml:space="preserve"> changement de comportement.</w:t>
            </w:r>
            <w:r>
              <w:rPr>
                <w:lang w:val="fr-CI"/>
              </w:rPr>
              <w:t xml:space="preserve"> Elle visera aussi à inciter ces femmes à connaitre leur statut s</w:t>
            </w:r>
            <w:proofErr w:type="spellStart"/>
            <w:r w:rsidRPr="00750CA9">
              <w:rPr>
                <w:lang w:val="fr-FR"/>
              </w:rPr>
              <w:t>érologique</w:t>
            </w:r>
            <w:proofErr w:type="spellEnd"/>
            <w:r w:rsidRPr="00750CA9">
              <w:rPr>
                <w:lang w:val="fr-FR"/>
              </w:rPr>
              <w:t xml:space="preserve"> pour le VIH.</w:t>
            </w:r>
            <w:r w:rsidR="00F21C98" w:rsidRPr="00750CA9">
              <w:rPr>
                <w:lang w:val="fr-FR"/>
              </w:rPr>
              <w:t xml:space="preserve"> </w:t>
            </w:r>
          </w:p>
          <w:p w14:paraId="0B7E8F2E" w14:textId="06833E5F" w:rsidR="0075151D" w:rsidRPr="00390EA4" w:rsidRDefault="0075151D" w:rsidP="005010EE">
            <w:pPr>
              <w:pStyle w:val="Texteformulaire"/>
              <w:rPr>
                <w:color w:val="000000"/>
                <w:lang w:val="fr-FR"/>
              </w:rPr>
            </w:pPr>
            <w:r w:rsidRPr="00390EA4">
              <w:rPr>
                <w:color w:val="000000"/>
                <w:lang w:val="fr-FR"/>
              </w:rPr>
              <w:t>Les principales a</w:t>
            </w:r>
            <w:r w:rsidR="00146119" w:rsidRPr="00390EA4">
              <w:rPr>
                <w:color w:val="000000"/>
                <w:lang w:val="fr-FR"/>
              </w:rPr>
              <w:t>ctivités</w:t>
            </w:r>
            <w:r w:rsidRPr="00390EA4">
              <w:rPr>
                <w:color w:val="000000"/>
                <w:lang w:val="fr-FR"/>
              </w:rPr>
              <w:t xml:space="preserve"> sont</w:t>
            </w:r>
            <w:r w:rsidR="00B1010C">
              <w:rPr>
                <w:color w:val="000000"/>
                <w:lang w:val="fr-FR"/>
              </w:rPr>
              <w:t xml:space="preserve"> </w:t>
            </w:r>
            <w:r w:rsidRPr="00390EA4">
              <w:rPr>
                <w:color w:val="000000"/>
                <w:lang w:val="fr-FR"/>
              </w:rPr>
              <w:t xml:space="preserve">: </w:t>
            </w:r>
          </w:p>
          <w:p w14:paraId="1745E2B2" w14:textId="2C5E76C3" w:rsidR="00146119" w:rsidRPr="00390EA4" w:rsidRDefault="00146119" w:rsidP="00390EA4">
            <w:pPr>
              <w:pStyle w:val="liste1"/>
              <w:rPr>
                <w:szCs w:val="20"/>
                <w:lang w:val="fr-CI"/>
              </w:rPr>
            </w:pPr>
            <w:r w:rsidRPr="00390EA4">
              <w:rPr>
                <w:lang w:val="fr-CI"/>
              </w:rPr>
              <w:t>Organiser un atelier d'élaboration de messages et de supports de communication à l'endroit des femmes fréquentant les services de SMNI/SSR</w:t>
            </w:r>
            <w:r w:rsidRPr="00390EA4">
              <w:rPr>
                <w:szCs w:val="20"/>
                <w:lang w:val="fr-CI"/>
              </w:rPr>
              <w:t xml:space="preserve"> et de leurs conjoints sur </w:t>
            </w:r>
            <w:r w:rsidRPr="00390EA4">
              <w:rPr>
                <w:szCs w:val="20"/>
                <w:lang w:val="fr-CI"/>
              </w:rPr>
              <w:lastRenderedPageBreak/>
              <w:t>les avantages de la CPN 1 au 1er trimestre de la grossesse et du dépistage du VIH, de la syphilis et de</w:t>
            </w:r>
            <w:r w:rsidR="00A70346" w:rsidRPr="00390EA4">
              <w:rPr>
                <w:szCs w:val="20"/>
                <w:lang w:val="fr-CI"/>
              </w:rPr>
              <w:t>s</w:t>
            </w:r>
            <w:r w:rsidRPr="00390EA4">
              <w:rPr>
                <w:szCs w:val="20"/>
                <w:lang w:val="fr-CI"/>
              </w:rPr>
              <w:t xml:space="preserve"> hépatite</w:t>
            </w:r>
            <w:r w:rsidR="00A70346" w:rsidRPr="00390EA4">
              <w:rPr>
                <w:szCs w:val="20"/>
                <w:lang w:val="fr-CI"/>
              </w:rPr>
              <w:t>s</w:t>
            </w:r>
            <w:r w:rsidRPr="00390EA4">
              <w:rPr>
                <w:szCs w:val="20"/>
                <w:lang w:val="fr-CI"/>
              </w:rPr>
              <w:t xml:space="preserve"> pour les femmes enceintes (en français et langues locales</w:t>
            </w:r>
          </w:p>
          <w:p w14:paraId="6F169004" w14:textId="3EFEEE6E" w:rsidR="00146119" w:rsidRPr="00390EA4" w:rsidRDefault="00146119" w:rsidP="00390EA4">
            <w:pPr>
              <w:pStyle w:val="liste1"/>
              <w:rPr>
                <w:szCs w:val="20"/>
                <w:lang w:val="fr-CI"/>
              </w:rPr>
            </w:pPr>
            <w:r w:rsidRPr="00390EA4">
              <w:rPr>
                <w:szCs w:val="20"/>
                <w:lang w:val="fr-CI"/>
              </w:rPr>
              <w:t>Reproduire et diffuser des supports de communication (affiches, dépliants, boites à images) sur les avantages de la CPN au 1er trimestre de la grossesse et du dépistage VIH/syphilis/hépatites à l'endroit des femmes et des hommes en âge de procréer</w:t>
            </w:r>
          </w:p>
          <w:p w14:paraId="4F9FE2FC" w14:textId="57F342CA" w:rsidR="00146119" w:rsidRPr="00390EA4" w:rsidRDefault="00146119" w:rsidP="00390EA4">
            <w:pPr>
              <w:pStyle w:val="liste1"/>
              <w:rPr>
                <w:szCs w:val="20"/>
                <w:lang w:val="fr-CI"/>
              </w:rPr>
            </w:pPr>
            <w:r w:rsidRPr="00390EA4">
              <w:rPr>
                <w:szCs w:val="20"/>
                <w:lang w:val="fr-CI"/>
              </w:rPr>
              <w:t>Organiser une campagne de communication radio/télé/communautaire sur les avantages de la CPN au 1</w:t>
            </w:r>
            <w:r w:rsidRPr="00750CA9">
              <w:rPr>
                <w:szCs w:val="20"/>
                <w:vertAlign w:val="superscript"/>
                <w:lang w:val="fr-CI"/>
              </w:rPr>
              <w:t>er</w:t>
            </w:r>
            <w:r w:rsidR="008F7765">
              <w:rPr>
                <w:szCs w:val="20"/>
                <w:lang w:val="fr-CI"/>
              </w:rPr>
              <w:t xml:space="preserve"> </w:t>
            </w:r>
            <w:r w:rsidRPr="00390EA4">
              <w:rPr>
                <w:szCs w:val="20"/>
                <w:lang w:val="fr-CI"/>
              </w:rPr>
              <w:t>trimestre de la grossesse et du dépistage VIH/syphilis/hépatites à l'endroit des femmes et des hommes en âge de procréer</w:t>
            </w:r>
          </w:p>
          <w:p w14:paraId="43D3CF5D" w14:textId="006EBFC7" w:rsidR="00146119" w:rsidRDefault="00B744DE" w:rsidP="00390EA4">
            <w:pPr>
              <w:pStyle w:val="liste1"/>
              <w:rPr>
                <w:iCs/>
                <w:lang w:val="fr-CI"/>
              </w:rPr>
            </w:pPr>
            <w:r w:rsidRPr="00390EA4">
              <w:rPr>
                <w:szCs w:val="20"/>
                <w:lang w:val="fr-CI"/>
              </w:rPr>
              <w:t>Organiser des séances de sensibilisation sur les avantages de la CPN 1 au 1er trimestre de la grossesse et du dépistage du VIH, de la syphilis et de l'hépatite pour les femmes enceintes par les matrones, les leaders communautaire</w:t>
            </w:r>
            <w:r w:rsidR="00F21C98">
              <w:rPr>
                <w:iCs/>
                <w:lang w:val="fr-CI"/>
              </w:rPr>
              <w:t>s</w:t>
            </w:r>
            <w:r w:rsidR="004568EA" w:rsidRPr="00390EA4">
              <w:rPr>
                <w:szCs w:val="20"/>
                <w:lang w:val="fr-CI"/>
              </w:rPr>
              <w:t>,</w:t>
            </w:r>
            <w:r w:rsidRPr="00390EA4">
              <w:rPr>
                <w:szCs w:val="20"/>
                <w:lang w:val="fr-CI"/>
              </w:rPr>
              <w:t xml:space="preserve"> etc</w:t>
            </w:r>
            <w:r w:rsidR="004568EA" w:rsidRPr="00390EA4">
              <w:rPr>
                <w:szCs w:val="20"/>
                <w:lang w:val="fr-CI"/>
              </w:rPr>
              <w:t>.</w:t>
            </w:r>
            <w:r w:rsidR="00146119" w:rsidRPr="00390EA4">
              <w:rPr>
                <w:szCs w:val="20"/>
                <w:lang w:val="fr-CI"/>
              </w:rPr>
              <w:t xml:space="preserve"> </w:t>
            </w:r>
          </w:p>
          <w:p w14:paraId="65E9CCE0" w14:textId="3D72B383" w:rsidR="00A9185E" w:rsidRPr="00335824" w:rsidRDefault="00A9185E" w:rsidP="00390EA4">
            <w:pPr>
              <w:pStyle w:val="liste1"/>
              <w:rPr>
                <w:rFonts w:eastAsia="Times New Roman"/>
              </w:rPr>
            </w:pPr>
            <w:proofErr w:type="spellStart"/>
            <w:r w:rsidRPr="00335824">
              <w:rPr>
                <w:rFonts w:eastAsia="Times New Roman"/>
              </w:rPr>
              <w:t>Réaliser</w:t>
            </w:r>
            <w:proofErr w:type="spellEnd"/>
            <w:r w:rsidRPr="00335824">
              <w:rPr>
                <w:rFonts w:eastAsia="Times New Roman"/>
              </w:rPr>
              <w:t xml:space="preserve"> </w:t>
            </w:r>
            <w:r>
              <w:rPr>
                <w:rFonts w:eastAsia="Times New Roman"/>
              </w:rPr>
              <w:t xml:space="preserve">de </w:t>
            </w:r>
            <w:r w:rsidRPr="00335824">
              <w:rPr>
                <w:rFonts w:eastAsia="Times New Roman"/>
              </w:rPr>
              <w:t xml:space="preserve">la </w:t>
            </w:r>
            <w:proofErr w:type="spellStart"/>
            <w:r w:rsidRPr="00335824">
              <w:rPr>
                <w:rFonts w:eastAsia="Times New Roman"/>
              </w:rPr>
              <w:t>référence</w:t>
            </w:r>
            <w:proofErr w:type="spellEnd"/>
            <w:r w:rsidRPr="00335824">
              <w:rPr>
                <w:rFonts w:eastAsia="Times New Roman"/>
              </w:rPr>
              <w:t xml:space="preserve"> active de 706 795 femmes enceintes de la </w:t>
            </w:r>
            <w:proofErr w:type="spellStart"/>
            <w:r w:rsidRPr="00335824">
              <w:rPr>
                <w:rFonts w:eastAsia="Times New Roman"/>
              </w:rPr>
              <w:t>communauté</w:t>
            </w:r>
            <w:proofErr w:type="spellEnd"/>
            <w:r w:rsidRPr="00335824">
              <w:rPr>
                <w:rFonts w:eastAsia="Times New Roman"/>
              </w:rPr>
              <w:t xml:space="preserve"> </w:t>
            </w:r>
            <w:proofErr w:type="spellStart"/>
            <w:r w:rsidRPr="00335824">
              <w:rPr>
                <w:rFonts w:eastAsia="Times New Roman"/>
              </w:rPr>
              <w:t>vers</w:t>
            </w:r>
            <w:proofErr w:type="spellEnd"/>
            <w:r w:rsidRPr="00335824">
              <w:rPr>
                <w:rFonts w:eastAsia="Times New Roman"/>
              </w:rPr>
              <w:t xml:space="preserve"> les structures de santé pour </w:t>
            </w:r>
            <w:proofErr w:type="spellStart"/>
            <w:r w:rsidRPr="00335824">
              <w:rPr>
                <w:rFonts w:eastAsia="Times New Roman"/>
              </w:rPr>
              <w:t>leur</w:t>
            </w:r>
            <w:proofErr w:type="spellEnd"/>
            <w:r w:rsidRPr="00335824">
              <w:rPr>
                <w:rFonts w:eastAsia="Times New Roman"/>
              </w:rPr>
              <w:t xml:space="preserve"> CPN 1 et </w:t>
            </w:r>
            <w:proofErr w:type="spellStart"/>
            <w:r w:rsidRPr="00335824">
              <w:rPr>
                <w:rFonts w:eastAsia="Times New Roman"/>
              </w:rPr>
              <w:t>leur</w:t>
            </w:r>
            <w:proofErr w:type="spellEnd"/>
            <w:r w:rsidRPr="00335824">
              <w:rPr>
                <w:rFonts w:eastAsia="Times New Roman"/>
              </w:rPr>
              <w:t xml:space="preserve"> </w:t>
            </w:r>
            <w:proofErr w:type="spellStart"/>
            <w:r w:rsidRPr="00335824">
              <w:rPr>
                <w:rFonts w:eastAsia="Times New Roman"/>
              </w:rPr>
              <w:t>dépistage</w:t>
            </w:r>
            <w:proofErr w:type="spellEnd"/>
            <w:r w:rsidRPr="00335824">
              <w:rPr>
                <w:rFonts w:eastAsia="Times New Roman"/>
              </w:rPr>
              <w:t xml:space="preserve"> VIH au 1er </w:t>
            </w:r>
            <w:proofErr w:type="spellStart"/>
            <w:r w:rsidRPr="00335824">
              <w:rPr>
                <w:rFonts w:eastAsia="Times New Roman"/>
              </w:rPr>
              <w:t>trimestre</w:t>
            </w:r>
            <w:proofErr w:type="spellEnd"/>
            <w:r w:rsidRPr="00335824">
              <w:rPr>
                <w:rFonts w:eastAsia="Times New Roman"/>
              </w:rPr>
              <w:t xml:space="preserve"> de la </w:t>
            </w:r>
            <w:proofErr w:type="spellStart"/>
            <w:r w:rsidRPr="00335824">
              <w:rPr>
                <w:rFonts w:eastAsia="Times New Roman"/>
              </w:rPr>
              <w:t>grossesse</w:t>
            </w:r>
            <w:proofErr w:type="spellEnd"/>
            <w:r w:rsidRPr="00335824">
              <w:rPr>
                <w:rFonts w:eastAsia="Times New Roman"/>
              </w:rPr>
              <w:t xml:space="preserve"> par les OBC actives (OBC et </w:t>
            </w:r>
            <w:proofErr w:type="spellStart"/>
            <w:r w:rsidRPr="00335824">
              <w:rPr>
                <w:rFonts w:eastAsia="Times New Roman"/>
              </w:rPr>
              <w:t>autres</w:t>
            </w:r>
            <w:proofErr w:type="spellEnd"/>
            <w:r w:rsidRPr="00335824">
              <w:rPr>
                <w:rFonts w:eastAsia="Times New Roman"/>
              </w:rPr>
              <w:t xml:space="preserve"> </w:t>
            </w:r>
            <w:proofErr w:type="spellStart"/>
            <w:r w:rsidRPr="00335824">
              <w:rPr>
                <w:rFonts w:eastAsia="Times New Roman"/>
              </w:rPr>
              <w:t>acteurs</w:t>
            </w:r>
            <w:proofErr w:type="spellEnd"/>
            <w:r w:rsidRPr="00335824">
              <w:rPr>
                <w:rFonts w:eastAsia="Times New Roman"/>
              </w:rPr>
              <w:t xml:space="preserve"> </w:t>
            </w:r>
            <w:proofErr w:type="spellStart"/>
            <w:r w:rsidRPr="00335824">
              <w:rPr>
                <w:rFonts w:eastAsia="Times New Roman"/>
              </w:rPr>
              <w:t>communautaires</w:t>
            </w:r>
            <w:proofErr w:type="spellEnd"/>
            <w:r w:rsidRPr="00335824">
              <w:rPr>
                <w:rFonts w:eastAsia="Times New Roman"/>
              </w:rPr>
              <w:t xml:space="preserve"> - </w:t>
            </w:r>
            <w:proofErr w:type="spellStart"/>
            <w:r w:rsidRPr="00335824">
              <w:rPr>
                <w:rFonts w:eastAsia="Times New Roman"/>
              </w:rPr>
              <w:t>accoucheuses</w:t>
            </w:r>
            <w:proofErr w:type="spellEnd"/>
            <w:r w:rsidRPr="00335824">
              <w:rPr>
                <w:rFonts w:eastAsia="Times New Roman"/>
              </w:rPr>
              <w:t xml:space="preserve"> </w:t>
            </w:r>
            <w:proofErr w:type="spellStart"/>
            <w:r w:rsidRPr="00335824">
              <w:rPr>
                <w:rFonts w:eastAsia="Times New Roman"/>
              </w:rPr>
              <w:t>traditionnelles</w:t>
            </w:r>
            <w:proofErr w:type="spellEnd"/>
            <w:r w:rsidRPr="00335824">
              <w:rPr>
                <w:rFonts w:eastAsia="Times New Roman"/>
              </w:rPr>
              <w:t xml:space="preserve">, </w:t>
            </w:r>
            <w:proofErr w:type="spellStart"/>
            <w:r w:rsidRPr="00335824">
              <w:rPr>
                <w:rFonts w:eastAsia="Times New Roman"/>
              </w:rPr>
              <w:t>praticiens</w:t>
            </w:r>
            <w:proofErr w:type="spellEnd"/>
            <w:r w:rsidRPr="00335824">
              <w:rPr>
                <w:rFonts w:eastAsia="Times New Roman"/>
              </w:rPr>
              <w:t xml:space="preserve"> de </w:t>
            </w:r>
            <w:proofErr w:type="spellStart"/>
            <w:r w:rsidRPr="00335824">
              <w:rPr>
                <w:rFonts w:eastAsia="Times New Roman"/>
              </w:rPr>
              <w:t>médecine</w:t>
            </w:r>
            <w:proofErr w:type="spellEnd"/>
            <w:r w:rsidRPr="00335824">
              <w:rPr>
                <w:rFonts w:eastAsia="Times New Roman"/>
              </w:rPr>
              <w:t xml:space="preserve"> </w:t>
            </w:r>
            <w:proofErr w:type="spellStart"/>
            <w:r w:rsidRPr="00335824">
              <w:rPr>
                <w:rFonts w:eastAsia="Times New Roman"/>
              </w:rPr>
              <w:t>traditionnelle</w:t>
            </w:r>
            <w:proofErr w:type="spellEnd"/>
            <w:r w:rsidRPr="00335824">
              <w:rPr>
                <w:rFonts w:eastAsia="Times New Roman"/>
              </w:rPr>
              <w:t>).</w:t>
            </w:r>
          </w:p>
          <w:p w14:paraId="1A4A5E90" w14:textId="33B93360" w:rsidR="00425F66" w:rsidRPr="00390EA4" w:rsidRDefault="00425F66" w:rsidP="00390EA4">
            <w:pPr>
              <w:pStyle w:val="liste1"/>
              <w:rPr>
                <w:szCs w:val="20"/>
                <w:lang w:val="fr-CI"/>
              </w:rPr>
            </w:pPr>
            <w:r w:rsidRPr="00390EA4">
              <w:rPr>
                <w:szCs w:val="20"/>
                <w:lang w:val="fr-CI"/>
              </w:rPr>
              <w:t>Assurer la mobilisation communautaire pour la PTME par les leaders communautaires, matrones, collectifs de femme etc</w:t>
            </w:r>
            <w:r w:rsidR="00F21C98">
              <w:rPr>
                <w:iCs/>
                <w:lang w:val="fr-CI"/>
              </w:rPr>
              <w:t>.</w:t>
            </w:r>
            <w:r w:rsidRPr="00390EA4">
              <w:rPr>
                <w:szCs w:val="20"/>
                <w:lang w:val="fr-CI"/>
              </w:rPr>
              <w:t xml:space="preserve"> par l’organisation de séances de sensibilisation et référence des FAP, des FE sur les avantages de la CPN 1 au 1er trimestre de la grossesse et du dépistage du VIH, de la syphilis et de l'hépatite</w:t>
            </w:r>
          </w:p>
          <w:p w14:paraId="7CE14889" w14:textId="62F4BE05" w:rsidR="00425F66" w:rsidRPr="00390EA4" w:rsidRDefault="00425F66" w:rsidP="00390EA4">
            <w:pPr>
              <w:pStyle w:val="liste1"/>
              <w:rPr>
                <w:szCs w:val="20"/>
                <w:lang w:val="fr-CI"/>
              </w:rPr>
            </w:pPr>
            <w:r w:rsidRPr="00390EA4">
              <w:rPr>
                <w:szCs w:val="20"/>
                <w:lang w:val="fr-CI"/>
              </w:rPr>
              <w:t>Or</w:t>
            </w:r>
            <w:r w:rsidR="00F21C98">
              <w:rPr>
                <w:iCs/>
                <w:lang w:val="fr-CI"/>
              </w:rPr>
              <w:t>g</w:t>
            </w:r>
            <w:r w:rsidRPr="00390EA4">
              <w:rPr>
                <w:szCs w:val="20"/>
                <w:lang w:val="fr-CI"/>
              </w:rPr>
              <w:t>aniser une session d'orientation 01 jour par site de 100 du couple modèle (mères tutrices et son conjoint) dans les 100 sites de prise en charge sur les avantages de la CPN 1 précoce et le système de référence active par le prestataire de santé</w:t>
            </w:r>
          </w:p>
          <w:p w14:paraId="53CCD996" w14:textId="622A9EFB" w:rsidR="00425F66" w:rsidRPr="00390EA4" w:rsidRDefault="00425F66" w:rsidP="00390EA4">
            <w:pPr>
              <w:pStyle w:val="liste1"/>
              <w:rPr>
                <w:rFonts w:eastAsiaTheme="minorHAnsi"/>
                <w:lang w:val="fr-CI"/>
              </w:rPr>
            </w:pPr>
            <w:r w:rsidRPr="00390EA4">
              <w:rPr>
                <w:rFonts w:eastAsiaTheme="minorHAnsi"/>
                <w:lang w:val="fr-CI"/>
              </w:rPr>
              <w:t xml:space="preserve"> </w:t>
            </w:r>
            <w:r w:rsidRPr="00750CA9">
              <w:rPr>
                <w:lang w:val="fr-FR"/>
              </w:rPr>
              <w:t xml:space="preserve">Récompenser 50 leaders communautaires les plus engagés en faveur de la PTME </w:t>
            </w:r>
            <w:r w:rsidR="00F21C98" w:rsidRPr="00750CA9">
              <w:rPr>
                <w:lang w:val="fr-FR"/>
              </w:rPr>
              <w:t>chaque année</w:t>
            </w:r>
          </w:p>
          <w:p w14:paraId="02A396AD" w14:textId="1821E2DF" w:rsidR="00425F66" w:rsidRPr="00390EA4" w:rsidRDefault="00425F66" w:rsidP="00390EA4">
            <w:pPr>
              <w:pStyle w:val="liste1"/>
              <w:rPr>
                <w:rFonts w:eastAsiaTheme="minorHAnsi"/>
                <w:szCs w:val="20"/>
                <w:lang w:val="fr-CI"/>
              </w:rPr>
            </w:pPr>
            <w:r w:rsidRPr="00390EA4">
              <w:rPr>
                <w:szCs w:val="20"/>
                <w:lang w:val="fr-CI"/>
              </w:rPr>
              <w:t xml:space="preserve"> </w:t>
            </w:r>
            <w:r w:rsidRPr="00750CA9">
              <w:rPr>
                <w:lang w:val="fr-FR"/>
              </w:rPr>
              <w:t>Offrir des paquets de services incitatifs au bénéfice des partenaires qui accompagnent leurs</w:t>
            </w:r>
            <w:r w:rsidR="001F7AA0" w:rsidRPr="00750CA9">
              <w:rPr>
                <w:lang w:val="fr-FR"/>
              </w:rPr>
              <w:t xml:space="preserve"> </w:t>
            </w:r>
            <w:r w:rsidRPr="00750CA9">
              <w:rPr>
                <w:lang w:val="fr-FR"/>
              </w:rPr>
              <w:t xml:space="preserve">femmes enceintes en CPN (consultation prioritaire de la femme, prise de TA et poids du conjoint, </w:t>
            </w:r>
            <w:proofErr w:type="spellStart"/>
            <w:r w:rsidRPr="00750CA9">
              <w:rPr>
                <w:lang w:val="fr-FR"/>
              </w:rPr>
              <w:t>etc</w:t>
            </w:r>
            <w:proofErr w:type="spellEnd"/>
            <w:r w:rsidRPr="00750CA9">
              <w:rPr>
                <w:lang w:val="fr-FR"/>
              </w:rPr>
              <w:t>) </w:t>
            </w:r>
          </w:p>
          <w:p w14:paraId="77C1FABF" w14:textId="77777777" w:rsidR="004568EA" w:rsidRPr="00425F66" w:rsidRDefault="004568EA" w:rsidP="00390EA4">
            <w:pPr>
              <w:pStyle w:val="NormalJBGS"/>
              <w:spacing w:after="0" w:line="240" w:lineRule="auto"/>
              <w:ind w:left="360"/>
              <w:jc w:val="both"/>
              <w:rPr>
                <w:rFonts w:cs="Arial"/>
                <w:i w:val="0"/>
                <w:color w:val="auto"/>
                <w:sz w:val="22"/>
                <w:szCs w:val="22"/>
                <w:lang w:val="fr-CI"/>
              </w:rPr>
            </w:pPr>
          </w:p>
          <w:p w14:paraId="2FC6F941" w14:textId="2E6020B4" w:rsidR="00146119" w:rsidRPr="004D0D5B" w:rsidRDefault="001F7AA0" w:rsidP="006F6940">
            <w:pPr>
              <w:pStyle w:val="Default"/>
              <w:numPr>
                <w:ilvl w:val="0"/>
                <w:numId w:val="38"/>
              </w:numPr>
              <w:rPr>
                <w:b/>
                <w:iCs/>
                <w:color w:val="auto"/>
                <w:sz w:val="22"/>
                <w:szCs w:val="22"/>
                <w:lang w:val="fr-CI"/>
              </w:rPr>
            </w:pPr>
            <w:r>
              <w:rPr>
                <w:b/>
                <w:iCs/>
                <w:color w:val="auto"/>
                <w:sz w:val="22"/>
                <w:szCs w:val="22"/>
                <w:lang w:val="fr-CI"/>
              </w:rPr>
              <w:t xml:space="preserve">Volet 2 : </w:t>
            </w:r>
            <w:r w:rsidR="00146119" w:rsidRPr="004D0D5B">
              <w:rPr>
                <w:b/>
                <w:iCs/>
                <w:color w:val="auto"/>
                <w:sz w:val="22"/>
                <w:szCs w:val="22"/>
                <w:lang w:val="fr-CI"/>
              </w:rPr>
              <w:t>Prévention des grossesses non désirées chez les femmes vivant avec le VIH</w:t>
            </w:r>
          </w:p>
          <w:p w14:paraId="73E93789" w14:textId="198DC324" w:rsidR="003E41BD" w:rsidRDefault="00146119" w:rsidP="004E1C7A">
            <w:pPr>
              <w:pStyle w:val="Texteformulaire"/>
              <w:rPr>
                <w:lang w:val="fr-CI"/>
              </w:rPr>
            </w:pPr>
            <w:r w:rsidRPr="00666832">
              <w:rPr>
                <w:lang w:val="fr-CI"/>
              </w:rPr>
              <w:t xml:space="preserve">Dans le PSN 2021-2025, </w:t>
            </w:r>
            <w:r w:rsidR="001F7AA0">
              <w:rPr>
                <w:lang w:val="fr-CI"/>
              </w:rPr>
              <w:t xml:space="preserve">la faiblesse de </w:t>
            </w:r>
            <w:r w:rsidRPr="00666832">
              <w:rPr>
                <w:lang w:val="fr-CI"/>
              </w:rPr>
              <w:t xml:space="preserve">l’offre de Planification familiale à l’endroit des </w:t>
            </w:r>
            <w:r w:rsidR="001F7AA0">
              <w:rPr>
                <w:lang w:val="fr-CI"/>
              </w:rPr>
              <w:t xml:space="preserve">FVVIH a été identifiée comme </w:t>
            </w:r>
            <w:r w:rsidR="001F7AA0" w:rsidRPr="00666832">
              <w:rPr>
                <w:lang w:val="fr-CI"/>
              </w:rPr>
              <w:t xml:space="preserve">un défi spécifique </w:t>
            </w:r>
            <w:r w:rsidR="001F7AA0">
              <w:rPr>
                <w:lang w:val="fr-CI"/>
              </w:rPr>
              <w:t>de</w:t>
            </w:r>
            <w:r w:rsidR="001F7AA0" w:rsidRPr="00666832">
              <w:rPr>
                <w:lang w:val="fr-CI"/>
              </w:rPr>
              <w:t xml:space="preserve"> la PTME</w:t>
            </w:r>
            <w:r w:rsidR="001F7AA0">
              <w:rPr>
                <w:lang w:val="fr-CI"/>
              </w:rPr>
              <w:t xml:space="preserve"> (</w:t>
            </w:r>
            <w:r w:rsidRPr="00666832">
              <w:rPr>
                <w:lang w:val="fr-CI"/>
              </w:rPr>
              <w:t xml:space="preserve">seulement 46% des </w:t>
            </w:r>
            <w:r w:rsidR="001F7AA0">
              <w:rPr>
                <w:rFonts w:eastAsia="Calibri"/>
                <w:lang w:val="fr-FR"/>
              </w:rPr>
              <w:t>FVVIH</w:t>
            </w:r>
            <w:r w:rsidRPr="00666832">
              <w:rPr>
                <w:rFonts w:eastAsia="Calibri"/>
                <w:lang w:val="fr-FR"/>
              </w:rPr>
              <w:t xml:space="preserve"> ayant accouché dans une structure sanitaire ont bénéficié de conseils en planification familiale en post natal</w:t>
            </w:r>
            <w:r w:rsidR="001F7AA0">
              <w:rPr>
                <w:rFonts w:eastAsia="Calibri"/>
                <w:lang w:val="fr-FR"/>
              </w:rPr>
              <w:t xml:space="preserve"> en 2019)</w:t>
            </w:r>
            <w:r w:rsidRPr="00666832">
              <w:rPr>
                <w:lang w:val="fr-CI"/>
              </w:rPr>
              <w:t>.</w:t>
            </w:r>
            <w:r w:rsidR="00F8483A">
              <w:rPr>
                <w:lang w:val="fr-CI"/>
              </w:rPr>
              <w:t xml:space="preserve"> L</w:t>
            </w:r>
            <w:r w:rsidRPr="00666832">
              <w:rPr>
                <w:lang w:val="fr-CI"/>
              </w:rPr>
              <w:t xml:space="preserve">es </w:t>
            </w:r>
            <w:r w:rsidR="00F8483A" w:rsidRPr="00666832">
              <w:rPr>
                <w:lang w:val="fr-CI"/>
              </w:rPr>
              <w:t xml:space="preserve">faibles </w:t>
            </w:r>
            <w:r w:rsidRPr="00666832">
              <w:rPr>
                <w:lang w:val="fr-CI"/>
              </w:rPr>
              <w:t>performances actuelles sont liées aux difficultés suivantes : (i) insuffisance d’intégration des services SR-PF/VIH ; (ii) non traçabilité dans l’offre de service des Femmes vivant avec le VIH (FVVIH) de manière générale dans les outils de PF ; (iii) faible capacité et nombre insuffisant des prestataires maitrisant les nouvelles méthodes de contraception ; et (iv) sous-notification de certaines données dues à une insuffisance de compréhension de l’indicateur (conseil et offre de méthode de contraception moderne).</w:t>
            </w:r>
            <w:r w:rsidR="004D0D5B">
              <w:rPr>
                <w:lang w:val="fr-CI"/>
              </w:rPr>
              <w:t xml:space="preserve"> </w:t>
            </w:r>
          </w:p>
          <w:p w14:paraId="23CCB50D" w14:textId="514FD0D4" w:rsidR="004568EA" w:rsidRPr="00750CA9" w:rsidRDefault="004568EA" w:rsidP="004568EA">
            <w:pPr>
              <w:rPr>
                <w:sz w:val="22"/>
                <w:lang w:val="fr-FR"/>
              </w:rPr>
            </w:pPr>
            <w:r w:rsidRPr="00335824">
              <w:rPr>
                <w:sz w:val="22"/>
                <w:szCs w:val="22"/>
              </w:rPr>
              <w:t xml:space="preserve">Le </w:t>
            </w:r>
            <w:proofErr w:type="spellStart"/>
            <w:r w:rsidRPr="00335824">
              <w:rPr>
                <w:sz w:val="22"/>
                <w:szCs w:val="22"/>
              </w:rPr>
              <w:t>défit</w:t>
            </w:r>
            <w:proofErr w:type="spellEnd"/>
            <w:r w:rsidRPr="00335824">
              <w:rPr>
                <w:sz w:val="22"/>
                <w:szCs w:val="22"/>
              </w:rPr>
              <w:t xml:space="preserve"> global </w:t>
            </w:r>
            <w:r>
              <w:rPr>
                <w:sz w:val="22"/>
                <w:szCs w:val="22"/>
              </w:rPr>
              <w:t>avec</w:t>
            </w:r>
            <w:r w:rsidRPr="00335824">
              <w:rPr>
                <w:sz w:val="22"/>
                <w:szCs w:val="22"/>
              </w:rPr>
              <w:t xml:space="preserve"> </w:t>
            </w:r>
            <w:proofErr w:type="spellStart"/>
            <w:r w:rsidRPr="00335824">
              <w:rPr>
                <w:sz w:val="22"/>
                <w:szCs w:val="22"/>
              </w:rPr>
              <w:t>lequel</w:t>
            </w:r>
            <w:proofErr w:type="spellEnd"/>
            <w:r w:rsidRPr="00335824">
              <w:rPr>
                <w:sz w:val="22"/>
                <w:szCs w:val="22"/>
              </w:rPr>
              <w:t xml:space="preserve"> </w:t>
            </w:r>
            <w:proofErr w:type="spellStart"/>
            <w:r w:rsidRPr="00335824">
              <w:rPr>
                <w:sz w:val="22"/>
                <w:szCs w:val="22"/>
              </w:rPr>
              <w:t>s’articulent</w:t>
            </w:r>
            <w:proofErr w:type="spellEnd"/>
            <w:r w:rsidRPr="00335824">
              <w:rPr>
                <w:sz w:val="22"/>
                <w:szCs w:val="22"/>
              </w:rPr>
              <w:t xml:space="preserve"> les </w:t>
            </w:r>
            <w:proofErr w:type="spellStart"/>
            <w:r w:rsidRPr="00335824">
              <w:rPr>
                <w:sz w:val="22"/>
                <w:szCs w:val="22"/>
              </w:rPr>
              <w:t>défis</w:t>
            </w:r>
            <w:proofErr w:type="spellEnd"/>
            <w:r w:rsidRPr="00335824">
              <w:rPr>
                <w:sz w:val="22"/>
                <w:szCs w:val="22"/>
              </w:rPr>
              <w:t xml:space="preserve"> </w:t>
            </w:r>
            <w:proofErr w:type="spellStart"/>
            <w:r w:rsidRPr="00335824">
              <w:rPr>
                <w:sz w:val="22"/>
                <w:szCs w:val="22"/>
              </w:rPr>
              <w:t>spécifiques</w:t>
            </w:r>
            <w:proofErr w:type="spellEnd"/>
            <w:r w:rsidRPr="00335824">
              <w:rPr>
                <w:sz w:val="22"/>
                <w:szCs w:val="22"/>
              </w:rPr>
              <w:t xml:space="preserve"> du </w:t>
            </w:r>
            <w:proofErr w:type="spellStart"/>
            <w:r w:rsidRPr="00335824">
              <w:rPr>
                <w:sz w:val="22"/>
                <w:szCs w:val="22"/>
              </w:rPr>
              <w:t>volet</w:t>
            </w:r>
            <w:proofErr w:type="spellEnd"/>
            <w:r w:rsidRPr="00335824">
              <w:rPr>
                <w:sz w:val="22"/>
                <w:szCs w:val="22"/>
              </w:rPr>
              <w:t xml:space="preserve"> 1 de la PTME </w:t>
            </w:r>
            <w:proofErr w:type="spellStart"/>
            <w:r w:rsidRPr="00335824">
              <w:rPr>
                <w:sz w:val="22"/>
                <w:szCs w:val="22"/>
              </w:rPr>
              <w:t>est</w:t>
            </w:r>
            <w:proofErr w:type="spellEnd"/>
            <w:r w:rsidRPr="00335824">
              <w:rPr>
                <w:sz w:val="22"/>
                <w:szCs w:val="22"/>
              </w:rPr>
              <w:t xml:space="preserve"> </w:t>
            </w:r>
            <w:proofErr w:type="spellStart"/>
            <w:r w:rsidRPr="00335824">
              <w:rPr>
                <w:sz w:val="22"/>
                <w:szCs w:val="22"/>
              </w:rPr>
              <w:t>celui</w:t>
            </w:r>
            <w:proofErr w:type="spellEnd"/>
            <w:r w:rsidRPr="00335824">
              <w:rPr>
                <w:sz w:val="22"/>
                <w:szCs w:val="22"/>
              </w:rPr>
              <w:t xml:space="preserve"> de la </w:t>
            </w:r>
            <w:proofErr w:type="spellStart"/>
            <w:r w:rsidRPr="00335824">
              <w:rPr>
                <w:sz w:val="22"/>
                <w:szCs w:val="22"/>
              </w:rPr>
              <w:t>faible</w:t>
            </w:r>
            <w:proofErr w:type="spellEnd"/>
            <w:r w:rsidRPr="00335824">
              <w:rPr>
                <w:sz w:val="22"/>
                <w:szCs w:val="22"/>
              </w:rPr>
              <w:t xml:space="preserve"> couverture </w:t>
            </w:r>
            <w:proofErr w:type="spellStart"/>
            <w:r w:rsidRPr="00335824">
              <w:rPr>
                <w:sz w:val="22"/>
                <w:szCs w:val="22"/>
              </w:rPr>
              <w:t>globale</w:t>
            </w:r>
            <w:proofErr w:type="spellEnd"/>
            <w:r w:rsidRPr="00335824">
              <w:rPr>
                <w:sz w:val="22"/>
                <w:szCs w:val="22"/>
              </w:rPr>
              <w:t xml:space="preserve"> </w:t>
            </w:r>
            <w:proofErr w:type="spellStart"/>
            <w:r w:rsidRPr="00335824">
              <w:rPr>
                <w:sz w:val="22"/>
                <w:szCs w:val="22"/>
              </w:rPr>
              <w:t>en</w:t>
            </w:r>
            <w:proofErr w:type="spellEnd"/>
            <w:r w:rsidRPr="00335824">
              <w:rPr>
                <w:sz w:val="22"/>
                <w:szCs w:val="22"/>
              </w:rPr>
              <w:t xml:space="preserve"> planning familial pour </w:t>
            </w:r>
            <w:proofErr w:type="spellStart"/>
            <w:r w:rsidRPr="00335824">
              <w:rPr>
                <w:sz w:val="22"/>
                <w:szCs w:val="22"/>
              </w:rPr>
              <w:t>l’ensemble</w:t>
            </w:r>
            <w:proofErr w:type="spellEnd"/>
            <w:r w:rsidRPr="00335824">
              <w:rPr>
                <w:sz w:val="22"/>
                <w:szCs w:val="22"/>
              </w:rPr>
              <w:t xml:space="preserve"> des femmes </w:t>
            </w:r>
            <w:proofErr w:type="spellStart"/>
            <w:r w:rsidRPr="00335824">
              <w:rPr>
                <w:sz w:val="22"/>
                <w:szCs w:val="22"/>
              </w:rPr>
              <w:t>en</w:t>
            </w:r>
            <w:proofErr w:type="spellEnd"/>
            <w:r w:rsidRPr="00335824">
              <w:rPr>
                <w:sz w:val="22"/>
                <w:szCs w:val="22"/>
              </w:rPr>
              <w:t xml:space="preserve"> </w:t>
            </w:r>
            <w:proofErr w:type="spellStart"/>
            <w:r w:rsidRPr="00335824">
              <w:rPr>
                <w:sz w:val="22"/>
                <w:szCs w:val="22"/>
              </w:rPr>
              <w:t>âge</w:t>
            </w:r>
            <w:proofErr w:type="spellEnd"/>
            <w:r w:rsidRPr="00335824">
              <w:rPr>
                <w:sz w:val="22"/>
                <w:szCs w:val="22"/>
              </w:rPr>
              <w:t xml:space="preserve"> de </w:t>
            </w:r>
            <w:proofErr w:type="spellStart"/>
            <w:r w:rsidRPr="00335824">
              <w:rPr>
                <w:sz w:val="22"/>
                <w:szCs w:val="22"/>
              </w:rPr>
              <w:t>procréer</w:t>
            </w:r>
            <w:proofErr w:type="spellEnd"/>
            <w:r w:rsidRPr="00335824">
              <w:rPr>
                <w:sz w:val="22"/>
                <w:szCs w:val="22"/>
              </w:rPr>
              <w:t xml:space="preserve"> de Côte d’Ivoire</w:t>
            </w:r>
            <w:r w:rsidR="008F7765">
              <w:rPr>
                <w:sz w:val="22"/>
                <w:szCs w:val="22"/>
              </w:rPr>
              <w:t xml:space="preserve"> (</w:t>
            </w:r>
            <w:proofErr w:type="spellStart"/>
            <w:r w:rsidR="008F7765">
              <w:rPr>
                <w:sz w:val="22"/>
                <w:szCs w:val="22"/>
              </w:rPr>
              <w:t>une</w:t>
            </w:r>
            <w:proofErr w:type="spellEnd"/>
            <w:r w:rsidR="008F7765">
              <w:rPr>
                <w:sz w:val="22"/>
                <w:szCs w:val="22"/>
              </w:rPr>
              <w:t xml:space="preserve"> faiblesse de la </w:t>
            </w:r>
            <w:proofErr w:type="spellStart"/>
            <w:r w:rsidR="008F7765">
              <w:rPr>
                <w:sz w:val="22"/>
                <w:szCs w:val="22"/>
              </w:rPr>
              <w:t>demande</w:t>
            </w:r>
            <w:proofErr w:type="spellEnd"/>
            <w:r w:rsidR="008F7765">
              <w:rPr>
                <w:sz w:val="22"/>
                <w:szCs w:val="22"/>
              </w:rPr>
              <w:t xml:space="preserve"> et de </w:t>
            </w:r>
            <w:proofErr w:type="spellStart"/>
            <w:r w:rsidR="008F7765">
              <w:rPr>
                <w:sz w:val="22"/>
                <w:szCs w:val="22"/>
              </w:rPr>
              <w:t>l’offre</w:t>
            </w:r>
            <w:proofErr w:type="spellEnd"/>
            <w:r w:rsidR="008F7765">
              <w:rPr>
                <w:sz w:val="22"/>
                <w:szCs w:val="22"/>
              </w:rPr>
              <w:t xml:space="preserve"> de</w:t>
            </w:r>
            <w:r w:rsidR="00DB5A85">
              <w:rPr>
                <w:sz w:val="22"/>
                <w:szCs w:val="22"/>
              </w:rPr>
              <w:t>s</w:t>
            </w:r>
            <w:r w:rsidR="008F7765">
              <w:rPr>
                <w:sz w:val="22"/>
                <w:szCs w:val="22"/>
              </w:rPr>
              <w:t xml:space="preserve"> service</w:t>
            </w:r>
            <w:r w:rsidR="00DB5A85">
              <w:rPr>
                <w:sz w:val="22"/>
                <w:szCs w:val="22"/>
              </w:rPr>
              <w:t>s</w:t>
            </w:r>
            <w:r w:rsidR="008F7765">
              <w:rPr>
                <w:sz w:val="22"/>
                <w:szCs w:val="22"/>
              </w:rPr>
              <w:t xml:space="preserve"> </w:t>
            </w:r>
            <w:r w:rsidR="00DB5A85">
              <w:rPr>
                <w:sz w:val="22"/>
                <w:szCs w:val="22"/>
              </w:rPr>
              <w:t xml:space="preserve">tout à la </w:t>
            </w:r>
            <w:proofErr w:type="spellStart"/>
            <w:r w:rsidR="00DB5A85">
              <w:rPr>
                <w:sz w:val="22"/>
                <w:szCs w:val="22"/>
              </w:rPr>
              <w:t>fois</w:t>
            </w:r>
            <w:proofErr w:type="spellEnd"/>
            <w:r w:rsidR="00DB5A85">
              <w:rPr>
                <w:sz w:val="22"/>
                <w:szCs w:val="22"/>
              </w:rPr>
              <w:t>)</w:t>
            </w:r>
            <w:r w:rsidRPr="00335824">
              <w:rPr>
                <w:sz w:val="22"/>
                <w:szCs w:val="22"/>
              </w:rPr>
              <w:t>.</w:t>
            </w:r>
          </w:p>
          <w:p w14:paraId="6401EC4C" w14:textId="3CDFE533" w:rsidR="004568EA" w:rsidRPr="00390EA4" w:rsidRDefault="001F7AA0" w:rsidP="00390EA4">
            <w:r w:rsidRPr="00390EA4">
              <w:rPr>
                <w:sz w:val="22"/>
                <w:szCs w:val="22"/>
              </w:rPr>
              <w:t xml:space="preserve">Les </w:t>
            </w:r>
            <w:proofErr w:type="spellStart"/>
            <w:r w:rsidRPr="00390EA4">
              <w:rPr>
                <w:sz w:val="22"/>
                <w:szCs w:val="22"/>
              </w:rPr>
              <w:t>principales</w:t>
            </w:r>
            <w:proofErr w:type="spellEnd"/>
            <w:r w:rsidRPr="00390EA4">
              <w:rPr>
                <w:sz w:val="22"/>
                <w:szCs w:val="22"/>
              </w:rPr>
              <w:t xml:space="preserve"> </w:t>
            </w:r>
            <w:proofErr w:type="spellStart"/>
            <w:r w:rsidRPr="00390EA4">
              <w:rPr>
                <w:sz w:val="22"/>
                <w:szCs w:val="22"/>
              </w:rPr>
              <w:t>activités</w:t>
            </w:r>
            <w:proofErr w:type="spellEnd"/>
            <w:r w:rsidRPr="00390EA4">
              <w:rPr>
                <w:sz w:val="22"/>
                <w:szCs w:val="22"/>
              </w:rPr>
              <w:t xml:space="preserve"> </w:t>
            </w:r>
            <w:proofErr w:type="spellStart"/>
            <w:r w:rsidRPr="00390EA4">
              <w:rPr>
                <w:sz w:val="22"/>
                <w:szCs w:val="22"/>
              </w:rPr>
              <w:t>prévues</w:t>
            </w:r>
            <w:proofErr w:type="spellEnd"/>
            <w:r w:rsidRPr="00390EA4">
              <w:rPr>
                <w:sz w:val="22"/>
                <w:szCs w:val="22"/>
              </w:rPr>
              <w:t xml:space="preserve"> dans </w:t>
            </w:r>
            <w:proofErr w:type="spellStart"/>
            <w:r w:rsidRPr="00390EA4">
              <w:rPr>
                <w:sz w:val="22"/>
                <w:szCs w:val="22"/>
              </w:rPr>
              <w:t>ce</w:t>
            </w:r>
            <w:proofErr w:type="spellEnd"/>
            <w:r w:rsidRPr="00390EA4">
              <w:rPr>
                <w:sz w:val="22"/>
                <w:szCs w:val="22"/>
              </w:rPr>
              <w:t xml:space="preserve"> </w:t>
            </w:r>
            <w:proofErr w:type="spellStart"/>
            <w:r w:rsidRPr="00390EA4">
              <w:rPr>
                <w:sz w:val="22"/>
                <w:szCs w:val="22"/>
              </w:rPr>
              <w:t>volet</w:t>
            </w:r>
            <w:proofErr w:type="spellEnd"/>
            <w:r w:rsidRPr="00390EA4">
              <w:rPr>
                <w:sz w:val="22"/>
                <w:szCs w:val="22"/>
              </w:rPr>
              <w:t xml:space="preserve"> </w:t>
            </w:r>
            <w:proofErr w:type="spellStart"/>
            <w:proofErr w:type="gramStart"/>
            <w:r w:rsidRPr="00390EA4">
              <w:rPr>
                <w:sz w:val="22"/>
                <w:szCs w:val="22"/>
              </w:rPr>
              <w:t>sont</w:t>
            </w:r>
            <w:proofErr w:type="spellEnd"/>
            <w:r w:rsidRPr="00390EA4">
              <w:rPr>
                <w:sz w:val="22"/>
                <w:szCs w:val="22"/>
              </w:rPr>
              <w:t> :</w:t>
            </w:r>
            <w:proofErr w:type="gramEnd"/>
          </w:p>
          <w:p w14:paraId="0E4456F7" w14:textId="63FCADAB" w:rsidR="00146119" w:rsidRPr="00390EA4" w:rsidRDefault="003E41BD" w:rsidP="00390EA4">
            <w:pPr>
              <w:pStyle w:val="liste1"/>
            </w:pPr>
            <w:proofErr w:type="spellStart"/>
            <w:r w:rsidRPr="00390EA4">
              <w:t>Organiser</w:t>
            </w:r>
            <w:proofErr w:type="spellEnd"/>
            <w:r w:rsidR="00146119" w:rsidRPr="00390EA4">
              <w:t xml:space="preserve"> </w:t>
            </w:r>
            <w:proofErr w:type="spellStart"/>
            <w:r w:rsidR="00146119" w:rsidRPr="00390EA4">
              <w:t>une</w:t>
            </w:r>
            <w:proofErr w:type="spellEnd"/>
            <w:r w:rsidR="00146119" w:rsidRPr="00390EA4">
              <w:t xml:space="preserve"> </w:t>
            </w:r>
            <w:proofErr w:type="spellStart"/>
            <w:r w:rsidR="00146119" w:rsidRPr="00390EA4">
              <w:t>campagne</w:t>
            </w:r>
            <w:proofErr w:type="spellEnd"/>
            <w:r w:rsidR="00146119" w:rsidRPr="00390EA4">
              <w:t xml:space="preserve"> </w:t>
            </w:r>
            <w:proofErr w:type="spellStart"/>
            <w:r w:rsidR="00146119" w:rsidRPr="00390EA4">
              <w:t>semestrielle</w:t>
            </w:r>
            <w:proofErr w:type="spellEnd"/>
            <w:r w:rsidR="00146119" w:rsidRPr="00390EA4">
              <w:t xml:space="preserve"> radio de 03 </w:t>
            </w:r>
            <w:proofErr w:type="spellStart"/>
            <w:r w:rsidR="00146119" w:rsidRPr="00390EA4">
              <w:t>mois</w:t>
            </w:r>
            <w:proofErr w:type="spellEnd"/>
            <w:r w:rsidR="00146119" w:rsidRPr="00390EA4">
              <w:t xml:space="preserve"> sur RCI/</w:t>
            </w:r>
            <w:proofErr w:type="spellStart"/>
            <w:r w:rsidR="00146119" w:rsidRPr="00390EA4">
              <w:t>Fréquence</w:t>
            </w:r>
            <w:proofErr w:type="spellEnd"/>
            <w:r w:rsidR="00146119" w:rsidRPr="00390EA4">
              <w:t xml:space="preserve"> 2 et 33 radios de </w:t>
            </w:r>
            <w:proofErr w:type="spellStart"/>
            <w:r w:rsidR="00146119" w:rsidRPr="00390EA4">
              <w:t>proximité</w:t>
            </w:r>
            <w:proofErr w:type="spellEnd"/>
            <w:r w:rsidR="00146119" w:rsidRPr="00390EA4">
              <w:t xml:space="preserve"> pour la diffusion de messages sur les </w:t>
            </w:r>
            <w:proofErr w:type="spellStart"/>
            <w:r w:rsidR="00146119" w:rsidRPr="00390EA4">
              <w:t>avantages</w:t>
            </w:r>
            <w:proofErr w:type="spellEnd"/>
            <w:r w:rsidR="00146119" w:rsidRPr="00390EA4">
              <w:t xml:space="preserve"> de la contraception chez les femmes </w:t>
            </w:r>
            <w:proofErr w:type="spellStart"/>
            <w:r w:rsidR="00146119" w:rsidRPr="00390EA4">
              <w:t>séropositives</w:t>
            </w:r>
            <w:proofErr w:type="spellEnd"/>
            <w:r w:rsidR="00146119" w:rsidRPr="00390EA4">
              <w:t xml:space="preserve"> (</w:t>
            </w:r>
            <w:proofErr w:type="spellStart"/>
            <w:r w:rsidR="00146119" w:rsidRPr="00390EA4">
              <w:t>en</w:t>
            </w:r>
            <w:proofErr w:type="spellEnd"/>
            <w:r w:rsidR="00146119" w:rsidRPr="00390EA4">
              <w:t xml:space="preserve"> </w:t>
            </w:r>
            <w:proofErr w:type="spellStart"/>
            <w:r w:rsidR="00146119" w:rsidRPr="00390EA4">
              <w:t>français</w:t>
            </w:r>
            <w:proofErr w:type="spellEnd"/>
            <w:r w:rsidR="00146119" w:rsidRPr="00390EA4">
              <w:t xml:space="preserve"> et </w:t>
            </w:r>
            <w:proofErr w:type="spellStart"/>
            <w:r w:rsidR="00146119" w:rsidRPr="00390EA4">
              <w:t>en</w:t>
            </w:r>
            <w:proofErr w:type="spellEnd"/>
            <w:r w:rsidR="00146119" w:rsidRPr="00390EA4">
              <w:t xml:space="preserve"> </w:t>
            </w:r>
            <w:proofErr w:type="spellStart"/>
            <w:r w:rsidR="00146119" w:rsidRPr="00390EA4">
              <w:t>langues</w:t>
            </w:r>
            <w:proofErr w:type="spellEnd"/>
            <w:r w:rsidR="00146119" w:rsidRPr="00390EA4">
              <w:t xml:space="preserve"> locales)</w:t>
            </w:r>
          </w:p>
          <w:p w14:paraId="6EC8F0EF" w14:textId="2A561494" w:rsidR="00146119" w:rsidRPr="00390EA4" w:rsidRDefault="00146119" w:rsidP="00390EA4">
            <w:pPr>
              <w:pStyle w:val="liste1"/>
            </w:pPr>
            <w:proofErr w:type="spellStart"/>
            <w:r w:rsidRPr="00390EA4">
              <w:t>Organiser</w:t>
            </w:r>
            <w:proofErr w:type="spellEnd"/>
            <w:r w:rsidRPr="00390EA4">
              <w:t xml:space="preserve"> 25 séances de mise à </w:t>
            </w:r>
            <w:proofErr w:type="spellStart"/>
            <w:r w:rsidRPr="00390EA4">
              <w:t>niveau</w:t>
            </w:r>
            <w:proofErr w:type="spellEnd"/>
            <w:r w:rsidRPr="00390EA4">
              <w:t xml:space="preserve"> de 500 </w:t>
            </w:r>
            <w:proofErr w:type="spellStart"/>
            <w:r w:rsidRPr="00390EA4">
              <w:t>acteurs</w:t>
            </w:r>
            <w:proofErr w:type="spellEnd"/>
            <w:r w:rsidRPr="00390EA4">
              <w:t xml:space="preserve"> (20 </w:t>
            </w:r>
            <w:proofErr w:type="spellStart"/>
            <w:r w:rsidRPr="00390EA4">
              <w:t>acteurs</w:t>
            </w:r>
            <w:proofErr w:type="spellEnd"/>
            <w:r w:rsidRPr="00390EA4">
              <w:t xml:space="preserve">/séance) de 250 structures </w:t>
            </w:r>
            <w:proofErr w:type="spellStart"/>
            <w:r w:rsidRPr="00390EA4">
              <w:t>offrant</w:t>
            </w:r>
            <w:proofErr w:type="spellEnd"/>
            <w:r w:rsidRPr="00390EA4">
              <w:t xml:space="preserve"> les services </w:t>
            </w:r>
            <w:proofErr w:type="spellStart"/>
            <w:r w:rsidRPr="00390EA4">
              <w:t>intégrés</w:t>
            </w:r>
            <w:proofErr w:type="spellEnd"/>
            <w:r w:rsidRPr="00390EA4">
              <w:t xml:space="preserve"> SMNI/VIH </w:t>
            </w:r>
            <w:proofErr w:type="spellStart"/>
            <w:r w:rsidRPr="00390EA4">
              <w:t>en</w:t>
            </w:r>
            <w:proofErr w:type="spellEnd"/>
            <w:r w:rsidRPr="00390EA4">
              <w:t xml:space="preserve"> </w:t>
            </w:r>
            <w:proofErr w:type="spellStart"/>
            <w:r w:rsidRPr="00390EA4">
              <w:t>technologie</w:t>
            </w:r>
            <w:proofErr w:type="spellEnd"/>
            <w:r w:rsidRPr="00390EA4">
              <w:t xml:space="preserve"> contraceptive</w:t>
            </w:r>
          </w:p>
          <w:p w14:paraId="1C82A0CC" w14:textId="5D86CA68" w:rsidR="00146119" w:rsidRDefault="00146119" w:rsidP="00390EA4">
            <w:pPr>
              <w:pStyle w:val="liste1"/>
            </w:pPr>
            <w:proofErr w:type="spellStart"/>
            <w:r w:rsidRPr="00390EA4">
              <w:lastRenderedPageBreak/>
              <w:t>Réaliser</w:t>
            </w:r>
            <w:proofErr w:type="spellEnd"/>
            <w:r w:rsidRPr="00390EA4">
              <w:t xml:space="preserve"> 20 missions de </w:t>
            </w:r>
            <w:proofErr w:type="spellStart"/>
            <w:r w:rsidRPr="00390EA4">
              <w:t>suivi</w:t>
            </w:r>
            <w:proofErr w:type="spellEnd"/>
            <w:r w:rsidRPr="00390EA4">
              <w:t xml:space="preserve">/coaching sur site des 500 </w:t>
            </w:r>
            <w:proofErr w:type="spellStart"/>
            <w:r w:rsidRPr="00390EA4">
              <w:t>acteurs</w:t>
            </w:r>
            <w:proofErr w:type="spellEnd"/>
            <w:r w:rsidRPr="00390EA4">
              <w:t xml:space="preserve"> mis à </w:t>
            </w:r>
            <w:proofErr w:type="spellStart"/>
            <w:r w:rsidRPr="00390EA4">
              <w:t>niveau</w:t>
            </w:r>
            <w:proofErr w:type="spellEnd"/>
            <w:r w:rsidRPr="00390EA4">
              <w:t xml:space="preserve"> sur la </w:t>
            </w:r>
            <w:proofErr w:type="spellStart"/>
            <w:r w:rsidRPr="00390EA4">
              <w:t>technologie</w:t>
            </w:r>
            <w:proofErr w:type="spellEnd"/>
            <w:r w:rsidRPr="00390EA4">
              <w:t xml:space="preserve"> contraceptive</w:t>
            </w:r>
            <w:r w:rsidR="001F7AA0">
              <w:t>.</w:t>
            </w:r>
          </w:p>
          <w:p w14:paraId="29AF640D" w14:textId="73F19507" w:rsidR="00DB5A85" w:rsidRDefault="001F7AA0" w:rsidP="00DB5A85">
            <w:pPr>
              <w:pStyle w:val="Texteformulaire"/>
            </w:pPr>
            <w:r w:rsidRPr="00390EA4">
              <w:t xml:space="preserve">L’UNFPA </w:t>
            </w:r>
            <w:proofErr w:type="spellStart"/>
            <w:r w:rsidR="00062C02">
              <w:t>prendra</w:t>
            </w:r>
            <w:proofErr w:type="spellEnd"/>
            <w:r w:rsidR="00062C02">
              <w:t xml:space="preserve"> </w:t>
            </w:r>
            <w:proofErr w:type="spellStart"/>
            <w:r w:rsidRPr="00390EA4">
              <w:t>en</w:t>
            </w:r>
            <w:proofErr w:type="spellEnd"/>
            <w:r w:rsidRPr="00390EA4">
              <w:t xml:space="preserve"> charge les </w:t>
            </w:r>
            <w:proofErr w:type="spellStart"/>
            <w:r w:rsidRPr="00390EA4">
              <w:t>activités</w:t>
            </w:r>
            <w:proofErr w:type="spellEnd"/>
            <w:r w:rsidRPr="00390EA4">
              <w:t xml:space="preserve"> de quantification des </w:t>
            </w:r>
            <w:proofErr w:type="spellStart"/>
            <w:r w:rsidRPr="00390EA4">
              <w:t>contrac</w:t>
            </w:r>
            <w:r w:rsidR="00062C02">
              <w:t>eptifs</w:t>
            </w:r>
            <w:proofErr w:type="spellEnd"/>
            <w:r w:rsidR="00062C02">
              <w:t xml:space="preserve"> </w:t>
            </w:r>
            <w:r w:rsidR="00DB5A85">
              <w:t xml:space="preserve">(y </w:t>
            </w:r>
            <w:proofErr w:type="spellStart"/>
            <w:r w:rsidR="00DB5A85">
              <w:t>compris</w:t>
            </w:r>
            <w:proofErr w:type="spellEnd"/>
            <w:r w:rsidR="00DB5A85">
              <w:t xml:space="preserve"> les </w:t>
            </w:r>
            <w:proofErr w:type="spellStart"/>
            <w:r w:rsidR="00DB5A85">
              <w:t>préservatifs</w:t>
            </w:r>
            <w:proofErr w:type="spellEnd"/>
            <w:r w:rsidR="00DB5A85">
              <w:t xml:space="preserve">) </w:t>
            </w:r>
            <w:r w:rsidRPr="00390EA4">
              <w:t xml:space="preserve">pour </w:t>
            </w:r>
            <w:proofErr w:type="spellStart"/>
            <w:r w:rsidRPr="00390EA4">
              <w:t>l’ensemble</w:t>
            </w:r>
            <w:proofErr w:type="spellEnd"/>
            <w:r w:rsidRPr="00390EA4">
              <w:t xml:space="preserve"> des femmes </w:t>
            </w:r>
            <w:proofErr w:type="spellStart"/>
            <w:r w:rsidRPr="00390EA4">
              <w:t>en</w:t>
            </w:r>
            <w:proofErr w:type="spellEnd"/>
            <w:r w:rsidRPr="00390EA4">
              <w:t xml:space="preserve"> </w:t>
            </w:r>
            <w:proofErr w:type="spellStart"/>
            <w:r w:rsidRPr="00390EA4">
              <w:t>âge</w:t>
            </w:r>
            <w:proofErr w:type="spellEnd"/>
            <w:r w:rsidRPr="00390EA4">
              <w:t xml:space="preserve"> de </w:t>
            </w:r>
            <w:proofErr w:type="spellStart"/>
            <w:r w:rsidRPr="00390EA4">
              <w:t>procréer</w:t>
            </w:r>
            <w:proofErr w:type="spellEnd"/>
            <w:r w:rsidR="00DB5A85">
              <w:t xml:space="preserve">, </w:t>
            </w:r>
            <w:proofErr w:type="spellStart"/>
            <w:r w:rsidR="00062C02">
              <w:t>contribuera</w:t>
            </w:r>
            <w:proofErr w:type="spellEnd"/>
            <w:r w:rsidR="00062C02">
              <w:t xml:space="preserve"> au </w:t>
            </w:r>
            <w:proofErr w:type="spellStart"/>
            <w:r w:rsidR="00062C02">
              <w:t>renforcement</w:t>
            </w:r>
            <w:proofErr w:type="spellEnd"/>
            <w:r w:rsidR="00062C02">
              <w:t xml:space="preserve"> de la </w:t>
            </w:r>
            <w:proofErr w:type="spellStart"/>
            <w:r w:rsidR="00062C02">
              <w:t>chaine</w:t>
            </w:r>
            <w:proofErr w:type="spellEnd"/>
            <w:r w:rsidR="00062C02">
              <w:t xml:space="preserve"> </w:t>
            </w:r>
            <w:proofErr w:type="spellStart"/>
            <w:r w:rsidR="00062C02">
              <w:t>d’approvisionnement</w:t>
            </w:r>
            <w:proofErr w:type="spellEnd"/>
            <w:r w:rsidR="00062C02">
              <w:t xml:space="preserve">, à la mise </w:t>
            </w:r>
            <w:proofErr w:type="spellStart"/>
            <w:r w:rsidR="00062C02">
              <w:t>en</w:t>
            </w:r>
            <w:proofErr w:type="spellEnd"/>
            <w:r w:rsidR="00062C02">
              <w:t xml:space="preserve"> place du </w:t>
            </w:r>
            <w:proofErr w:type="spellStart"/>
            <w:r w:rsidR="00062C02">
              <w:t>réseau</w:t>
            </w:r>
            <w:proofErr w:type="spellEnd"/>
            <w:r w:rsidR="00062C02">
              <w:t xml:space="preserve"> SONU, à </w:t>
            </w:r>
            <w:proofErr w:type="spellStart"/>
            <w:r w:rsidR="00062C02">
              <w:t>l’offre</w:t>
            </w:r>
            <w:proofErr w:type="spellEnd"/>
            <w:r w:rsidR="00062C02">
              <w:t xml:space="preserve"> de service </w:t>
            </w:r>
            <w:r w:rsidR="00DB5A85">
              <w:t xml:space="preserve">de </w:t>
            </w:r>
            <w:r w:rsidR="00062C02">
              <w:t xml:space="preserve">planification </w:t>
            </w:r>
            <w:proofErr w:type="spellStart"/>
            <w:r w:rsidR="00062C02">
              <w:t>familial</w:t>
            </w:r>
            <w:r w:rsidR="00DB5A85">
              <w:t>e</w:t>
            </w:r>
            <w:proofErr w:type="spellEnd"/>
            <w:r w:rsidR="00062C02">
              <w:t xml:space="preserve"> </w:t>
            </w:r>
            <w:proofErr w:type="spellStart"/>
            <w:r w:rsidR="00062C02">
              <w:t>jusqu’au</w:t>
            </w:r>
            <w:proofErr w:type="spellEnd"/>
            <w:r w:rsidR="00062C02">
              <w:t xml:space="preserve"> dernier </w:t>
            </w:r>
            <w:proofErr w:type="spellStart"/>
            <w:r w:rsidR="00062C02">
              <w:t>k</w:t>
            </w:r>
            <w:r w:rsidR="00DB5A85">
              <w:t>ilomètre</w:t>
            </w:r>
            <w:proofErr w:type="spellEnd"/>
            <w:r w:rsidR="00DB5A85">
              <w:t>,</w:t>
            </w:r>
            <w:r w:rsidR="00062C02">
              <w:t xml:space="preserve"> </w:t>
            </w:r>
            <w:r w:rsidRPr="00390EA4">
              <w:t xml:space="preserve">y </w:t>
            </w:r>
            <w:proofErr w:type="spellStart"/>
            <w:r w:rsidRPr="00390EA4">
              <w:t>compris</w:t>
            </w:r>
            <w:proofErr w:type="spellEnd"/>
            <w:r w:rsidRPr="00390EA4">
              <w:t xml:space="preserve"> </w:t>
            </w:r>
            <w:r w:rsidR="00062C02">
              <w:t xml:space="preserve">pour </w:t>
            </w:r>
            <w:r w:rsidRPr="00390EA4">
              <w:t>les FVVIH</w:t>
            </w:r>
            <w:r w:rsidR="00062C02">
              <w:t xml:space="preserve"> à travers </w:t>
            </w:r>
            <w:proofErr w:type="spellStart"/>
            <w:r w:rsidR="00062C02">
              <w:t>différents</w:t>
            </w:r>
            <w:proofErr w:type="spellEnd"/>
            <w:r w:rsidR="00062C02">
              <w:t xml:space="preserve"> </w:t>
            </w:r>
            <w:proofErr w:type="spellStart"/>
            <w:r w:rsidR="00062C02">
              <w:t>projets</w:t>
            </w:r>
            <w:proofErr w:type="spellEnd"/>
            <w:r w:rsidR="00062C02">
              <w:t xml:space="preserve"> (</w:t>
            </w:r>
            <w:r w:rsidR="00DB5A85">
              <w:t xml:space="preserve">le </w:t>
            </w:r>
            <w:proofErr w:type="spellStart"/>
            <w:r w:rsidR="00F8483A" w:rsidRPr="00390EA4">
              <w:t>projet</w:t>
            </w:r>
            <w:proofErr w:type="spellEnd"/>
            <w:r w:rsidR="00F8483A" w:rsidRPr="00390EA4">
              <w:t xml:space="preserve"> spark</w:t>
            </w:r>
            <w:r w:rsidR="00DB5A85">
              <w:t xml:space="preserve"> </w:t>
            </w:r>
            <w:r w:rsidR="00F8483A" w:rsidRPr="00390EA4">
              <w:t xml:space="preserve">PNSME/BM/UNFPA </w:t>
            </w:r>
            <w:proofErr w:type="spellStart"/>
            <w:r w:rsidR="00F8483A" w:rsidRPr="00390EA4">
              <w:t>appuira</w:t>
            </w:r>
            <w:proofErr w:type="spellEnd"/>
            <w:r w:rsidR="00F8483A" w:rsidRPr="00390EA4">
              <w:t xml:space="preserve"> les </w:t>
            </w:r>
            <w:proofErr w:type="spellStart"/>
            <w:r w:rsidR="00F8483A" w:rsidRPr="00390EA4">
              <w:t>activités</w:t>
            </w:r>
            <w:proofErr w:type="spellEnd"/>
            <w:r w:rsidR="00F8483A" w:rsidRPr="00390EA4">
              <w:t xml:space="preserve"> </w:t>
            </w:r>
            <w:proofErr w:type="spellStart"/>
            <w:r w:rsidR="00F8483A" w:rsidRPr="00390EA4">
              <w:t>en</w:t>
            </w:r>
            <w:proofErr w:type="spellEnd"/>
            <w:r w:rsidR="00F8483A" w:rsidRPr="00390EA4">
              <w:t xml:space="preserve"> </w:t>
            </w:r>
            <w:proofErr w:type="spellStart"/>
            <w:r w:rsidR="00F8483A" w:rsidRPr="00390EA4">
              <w:t>offre</w:t>
            </w:r>
            <w:proofErr w:type="spellEnd"/>
            <w:r w:rsidR="00F8483A" w:rsidRPr="00390EA4">
              <w:t xml:space="preserve"> SONU et PF dans 230 structures de 2020 à 2022</w:t>
            </w:r>
            <w:r w:rsidR="00DB5A85">
              <w:t xml:space="preserve"> ; </w:t>
            </w:r>
            <w:r w:rsidR="00062C02">
              <w:t xml:space="preserve">Projet </w:t>
            </w:r>
            <w:r w:rsidR="00DB5A85">
              <w:t>Canada ;</w:t>
            </w:r>
            <w:r w:rsidR="00062C02">
              <w:t xml:space="preserve"> Projet </w:t>
            </w:r>
            <w:proofErr w:type="spellStart"/>
            <w:r w:rsidR="00062C02">
              <w:t>Koica</w:t>
            </w:r>
            <w:proofErr w:type="spellEnd"/>
            <w:r w:rsidR="00DB5A85">
              <w:t>, etc.</w:t>
            </w:r>
            <w:r w:rsidR="00062C02">
              <w:t>)</w:t>
            </w:r>
            <w:r w:rsidR="00F8483A" w:rsidRPr="00390EA4">
              <w:t xml:space="preserve"> </w:t>
            </w:r>
          </w:p>
          <w:p w14:paraId="02C1E2AE" w14:textId="77777777" w:rsidR="00DB5A85" w:rsidRPr="00750CA9" w:rsidRDefault="00DB5A85" w:rsidP="00750CA9"/>
          <w:p w14:paraId="5A5F71F2" w14:textId="08185CDE" w:rsidR="00146119" w:rsidRPr="00123AFF" w:rsidRDefault="00146119" w:rsidP="00123AFF">
            <w:pPr>
              <w:pStyle w:val="Default"/>
              <w:numPr>
                <w:ilvl w:val="0"/>
                <w:numId w:val="38"/>
              </w:numPr>
              <w:rPr>
                <w:b/>
                <w:color w:val="auto"/>
                <w:sz w:val="22"/>
                <w:lang w:val="fr-CI"/>
              </w:rPr>
            </w:pPr>
            <w:r w:rsidRPr="00123AFF">
              <w:rPr>
                <w:b/>
                <w:color w:val="auto"/>
                <w:sz w:val="22"/>
                <w:lang w:val="fr-CI"/>
              </w:rPr>
              <w:t>Prévention de la transmission verticale du VIH (</w:t>
            </w:r>
            <w:r w:rsidR="001F7AA0" w:rsidRPr="00123AFF">
              <w:rPr>
                <w:b/>
                <w:color w:val="auto"/>
                <w:sz w:val="22"/>
                <w:lang w:val="fr-CI"/>
              </w:rPr>
              <w:t>p</w:t>
            </w:r>
            <w:r w:rsidRPr="00123AFF">
              <w:rPr>
                <w:b/>
                <w:color w:val="auto"/>
                <w:sz w:val="22"/>
                <w:lang w:val="fr-CI"/>
              </w:rPr>
              <w:t>rise en charge de</w:t>
            </w:r>
            <w:r w:rsidR="001F7AA0" w:rsidRPr="00123AFF">
              <w:rPr>
                <w:b/>
                <w:color w:val="auto"/>
                <w:sz w:val="22"/>
                <w:lang w:val="fr-CI"/>
              </w:rPr>
              <w:t>s</w:t>
            </w:r>
            <w:r w:rsidRPr="00123AFF">
              <w:rPr>
                <w:b/>
                <w:color w:val="auto"/>
                <w:sz w:val="22"/>
                <w:lang w:val="fr-CI"/>
              </w:rPr>
              <w:t xml:space="preserve"> femme</w:t>
            </w:r>
            <w:r w:rsidR="001F7AA0" w:rsidRPr="00123AFF">
              <w:rPr>
                <w:b/>
                <w:color w:val="auto"/>
                <w:sz w:val="22"/>
                <w:lang w:val="fr-CI"/>
              </w:rPr>
              <w:t>s</w:t>
            </w:r>
            <w:r w:rsidRPr="00123AFF">
              <w:rPr>
                <w:b/>
                <w:color w:val="auto"/>
                <w:sz w:val="22"/>
                <w:lang w:val="fr-CI"/>
              </w:rPr>
              <w:t xml:space="preserve"> enceinte</w:t>
            </w:r>
            <w:r w:rsidR="001F7AA0" w:rsidRPr="00123AFF">
              <w:rPr>
                <w:b/>
                <w:color w:val="auto"/>
                <w:sz w:val="22"/>
                <w:lang w:val="fr-CI"/>
              </w:rPr>
              <w:t>s</w:t>
            </w:r>
            <w:r w:rsidRPr="00123AFF">
              <w:rPr>
                <w:b/>
                <w:color w:val="auto"/>
                <w:sz w:val="22"/>
                <w:lang w:val="fr-CI"/>
              </w:rPr>
              <w:t xml:space="preserve"> </w:t>
            </w:r>
            <w:r w:rsidR="001F7AA0" w:rsidRPr="00123AFF">
              <w:rPr>
                <w:b/>
                <w:color w:val="auto"/>
                <w:sz w:val="22"/>
                <w:lang w:val="fr-CI"/>
              </w:rPr>
              <w:t>vivant avec le</w:t>
            </w:r>
            <w:r w:rsidRPr="00123AFF">
              <w:rPr>
                <w:b/>
                <w:color w:val="auto"/>
                <w:sz w:val="22"/>
                <w:lang w:val="fr-CI"/>
              </w:rPr>
              <w:t xml:space="preserve"> VIH)</w:t>
            </w:r>
          </w:p>
          <w:p w14:paraId="413F5E73" w14:textId="6657762D" w:rsidR="00F8483A" w:rsidRDefault="00F8483A" w:rsidP="004D0D5B">
            <w:pPr>
              <w:pStyle w:val="Texteformulaire"/>
              <w:rPr>
                <w:lang w:val="fr-FR"/>
              </w:rPr>
            </w:pPr>
            <w:r>
              <w:rPr>
                <w:lang w:val="fr-FR"/>
              </w:rPr>
              <w:t>L</w:t>
            </w:r>
            <w:r w:rsidR="00146119" w:rsidRPr="00666832">
              <w:rPr>
                <w:lang w:val="fr-FR"/>
              </w:rPr>
              <w:t xml:space="preserve">’offre de services PTME est peu répandue dans le secteur privé (2% des </w:t>
            </w:r>
            <w:r w:rsidR="00146119">
              <w:rPr>
                <w:lang w:val="fr-FR"/>
              </w:rPr>
              <w:t xml:space="preserve">établissements </w:t>
            </w:r>
            <w:r w:rsidR="00146119" w:rsidRPr="00666832">
              <w:rPr>
                <w:lang w:val="fr-FR"/>
              </w:rPr>
              <w:t xml:space="preserve">sanitaires privées). </w:t>
            </w:r>
            <w:r>
              <w:rPr>
                <w:lang w:val="fr-FR"/>
              </w:rPr>
              <w:t>L</w:t>
            </w:r>
            <w:r w:rsidR="00146119">
              <w:rPr>
                <w:lang w:val="fr-FR"/>
              </w:rPr>
              <w:t xml:space="preserve">a couverture </w:t>
            </w:r>
            <w:r>
              <w:rPr>
                <w:lang w:val="fr-FR"/>
              </w:rPr>
              <w:t xml:space="preserve">en </w:t>
            </w:r>
            <w:r w:rsidR="00146119">
              <w:rPr>
                <w:lang w:val="fr-FR"/>
              </w:rPr>
              <w:t xml:space="preserve">ARV </w:t>
            </w:r>
            <w:r w:rsidR="00146119" w:rsidRPr="00666832">
              <w:rPr>
                <w:lang w:val="fr-FR"/>
              </w:rPr>
              <w:t xml:space="preserve">des femmes enceintes </w:t>
            </w:r>
            <w:r>
              <w:rPr>
                <w:lang w:val="fr-FR"/>
              </w:rPr>
              <w:t>vivant avec le VIH</w:t>
            </w:r>
            <w:r w:rsidRPr="00666832">
              <w:rPr>
                <w:lang w:val="fr-FR"/>
              </w:rPr>
              <w:t xml:space="preserve"> </w:t>
            </w:r>
            <w:r>
              <w:rPr>
                <w:lang w:val="fr-FR"/>
              </w:rPr>
              <w:t>reste insuffisante (7</w:t>
            </w:r>
            <w:r w:rsidR="00146119">
              <w:rPr>
                <w:lang w:val="fr-FR"/>
              </w:rPr>
              <w:t>9%</w:t>
            </w:r>
            <w:r>
              <w:rPr>
                <w:lang w:val="fr-FR"/>
              </w:rPr>
              <w:t xml:space="preserve"> en 2019) et seulement</w:t>
            </w:r>
            <w:r w:rsidR="00146119">
              <w:rPr>
                <w:lang w:val="fr-FR"/>
              </w:rPr>
              <w:t xml:space="preserve"> </w:t>
            </w:r>
            <w:r w:rsidR="00146119" w:rsidRPr="000D7209">
              <w:rPr>
                <w:lang w:val="fr-FR"/>
              </w:rPr>
              <w:t xml:space="preserve">63% </w:t>
            </w:r>
            <w:r w:rsidR="00146119" w:rsidRPr="00666832">
              <w:rPr>
                <w:lang w:val="fr-FR"/>
              </w:rPr>
              <w:t xml:space="preserve">d’entre elles ont accouché dans une </w:t>
            </w:r>
            <w:r w:rsidR="00146119">
              <w:rPr>
                <w:lang w:val="fr-FR"/>
              </w:rPr>
              <w:t>structure sanitaire pour la même période</w:t>
            </w:r>
            <w:r w:rsidR="00146119" w:rsidRPr="00666832">
              <w:rPr>
                <w:lang w:val="fr-FR"/>
              </w:rPr>
              <w:t>.</w:t>
            </w:r>
            <w:r w:rsidR="000E6733">
              <w:rPr>
                <w:lang w:val="fr-FR"/>
              </w:rPr>
              <w:t xml:space="preserve"> </w:t>
            </w:r>
          </w:p>
          <w:p w14:paraId="4BC3FE34" w14:textId="50622BFB" w:rsidR="000E6733" w:rsidRDefault="000E6733" w:rsidP="004D0D5B">
            <w:pPr>
              <w:pStyle w:val="Texteformulaire"/>
              <w:rPr>
                <w:lang w:val="fr-FR"/>
              </w:rPr>
            </w:pPr>
            <w:r>
              <w:rPr>
                <w:lang w:val="fr-FR"/>
              </w:rPr>
              <w:t xml:space="preserve">Les principales activités </w:t>
            </w:r>
            <w:r w:rsidR="00F8483A">
              <w:rPr>
                <w:lang w:val="fr-FR"/>
              </w:rPr>
              <w:t xml:space="preserve">prévues </w:t>
            </w:r>
            <w:r>
              <w:rPr>
                <w:lang w:val="fr-FR"/>
              </w:rPr>
              <w:t>sont :</w:t>
            </w:r>
          </w:p>
          <w:p w14:paraId="1D80680C" w14:textId="50A89FD1" w:rsidR="00146119" w:rsidRPr="00750CA9" w:rsidRDefault="00146119" w:rsidP="00390EA4">
            <w:pPr>
              <w:pStyle w:val="liste1"/>
              <w:rPr>
                <w:lang w:val="fr-FR"/>
              </w:rPr>
            </w:pPr>
            <w:r w:rsidRPr="00750CA9">
              <w:rPr>
                <w:lang w:val="fr-FR"/>
              </w:rPr>
              <w:t>Mise en place du comité national de suivi/coordination du processus de certification</w:t>
            </w:r>
            <w:r w:rsidR="004B4B2F" w:rsidRPr="00750CA9">
              <w:rPr>
                <w:lang w:val="fr-FR"/>
              </w:rPr>
              <w:t xml:space="preserve"> de l’</w:t>
            </w:r>
            <w:proofErr w:type="spellStart"/>
            <w:r w:rsidR="004B4B2F" w:rsidRPr="00750CA9">
              <w:rPr>
                <w:lang w:val="fr-FR"/>
              </w:rPr>
              <w:t>eTME</w:t>
            </w:r>
            <w:proofErr w:type="spellEnd"/>
          </w:p>
          <w:p w14:paraId="24FBAD62" w14:textId="788F7ADE" w:rsidR="00146119" w:rsidRPr="00750CA9" w:rsidRDefault="00146119" w:rsidP="00390EA4">
            <w:pPr>
              <w:pStyle w:val="liste1"/>
              <w:rPr>
                <w:lang w:val="fr-FR"/>
              </w:rPr>
            </w:pPr>
            <w:r w:rsidRPr="00750CA9">
              <w:rPr>
                <w:lang w:val="fr-FR"/>
              </w:rPr>
              <w:t>Réaliser une analyse situationnelle de 80 structures du secteur privé, confessionnel et communautaire n'offrant pas encore des services de PTME dans les districts prioritaires</w:t>
            </w:r>
          </w:p>
          <w:p w14:paraId="66374105" w14:textId="7400E40C" w:rsidR="00146119" w:rsidRPr="00750CA9" w:rsidRDefault="00146119" w:rsidP="00390EA4">
            <w:pPr>
              <w:pStyle w:val="liste1"/>
              <w:rPr>
                <w:lang w:val="fr-FR"/>
              </w:rPr>
            </w:pPr>
            <w:r w:rsidRPr="00750CA9">
              <w:rPr>
                <w:lang w:val="fr-FR"/>
              </w:rPr>
              <w:t>Renforcer les capacités des structures de santé du secteur privé, confessionnel et communautaire pour l'offre des services de PTME</w:t>
            </w:r>
          </w:p>
          <w:p w14:paraId="70C65466" w14:textId="789B3F9C" w:rsidR="00146119" w:rsidRPr="00750CA9" w:rsidRDefault="00146119" w:rsidP="00390EA4">
            <w:pPr>
              <w:pStyle w:val="liste1"/>
              <w:rPr>
                <w:lang w:val="fr-FR"/>
              </w:rPr>
            </w:pPr>
            <w:r w:rsidRPr="00750CA9">
              <w:rPr>
                <w:lang w:val="fr-FR"/>
              </w:rPr>
              <w:t xml:space="preserve">Intensification des stratégies avancées et intégrées (consultations foraines) en vue d'augmenter la couverture en CPN 1 et le dépistage </w:t>
            </w:r>
            <w:r w:rsidR="004B4B2F" w:rsidRPr="00750CA9">
              <w:rPr>
                <w:lang w:val="fr-FR"/>
              </w:rPr>
              <w:t xml:space="preserve">du </w:t>
            </w:r>
            <w:r w:rsidRPr="00750CA9">
              <w:rPr>
                <w:lang w:val="fr-FR"/>
              </w:rPr>
              <w:t>VIH</w:t>
            </w:r>
            <w:r w:rsidR="004B4B2F" w:rsidRPr="00750CA9">
              <w:rPr>
                <w:lang w:val="fr-FR"/>
              </w:rPr>
              <w:t xml:space="preserve"> </w:t>
            </w:r>
            <w:r w:rsidRPr="00750CA9">
              <w:rPr>
                <w:lang w:val="fr-FR"/>
              </w:rPr>
              <w:t>des femmes enceintes au cours du 1er trimestre de la grossesse</w:t>
            </w:r>
          </w:p>
          <w:p w14:paraId="03A0C95D" w14:textId="2B40FA67" w:rsidR="00146119" w:rsidRPr="00750CA9" w:rsidRDefault="00146119" w:rsidP="00390EA4">
            <w:pPr>
              <w:pStyle w:val="liste1"/>
              <w:rPr>
                <w:lang w:val="fr-FR"/>
              </w:rPr>
            </w:pPr>
            <w:r w:rsidRPr="00750CA9">
              <w:rPr>
                <w:lang w:val="fr-FR"/>
              </w:rPr>
              <w:t>Intensification de l’implication communautaire, par la mobilisation des leaders communautaires</w:t>
            </w:r>
            <w:r w:rsidR="007E42F2" w:rsidRPr="00750CA9">
              <w:rPr>
                <w:lang w:val="fr-FR"/>
              </w:rPr>
              <w:t xml:space="preserve">, des agents de </w:t>
            </w:r>
            <w:proofErr w:type="spellStart"/>
            <w:r w:rsidR="007E42F2" w:rsidRPr="00750CA9">
              <w:rPr>
                <w:lang w:val="fr-FR"/>
              </w:rPr>
              <w:t>developpement</w:t>
            </w:r>
            <w:proofErr w:type="spellEnd"/>
            <w:r w:rsidR="007E42F2" w:rsidRPr="00750CA9">
              <w:rPr>
                <w:lang w:val="fr-FR"/>
              </w:rPr>
              <w:t xml:space="preserve"> rural (ADR)</w:t>
            </w:r>
            <w:r w:rsidRPr="00750CA9">
              <w:rPr>
                <w:lang w:val="fr-FR"/>
              </w:rPr>
              <w:t xml:space="preserve"> et des mères tutrices ("mères mentor") dans le suivi actif du couple mère-enfant</w:t>
            </w:r>
          </w:p>
          <w:p w14:paraId="4A59B573" w14:textId="169F4024" w:rsidR="00146119" w:rsidRPr="00750CA9" w:rsidRDefault="00146119" w:rsidP="00390EA4">
            <w:pPr>
              <w:pStyle w:val="liste1"/>
              <w:rPr>
                <w:lang w:val="fr-FR"/>
              </w:rPr>
            </w:pPr>
            <w:r w:rsidRPr="00750CA9">
              <w:rPr>
                <w:lang w:val="fr-FR"/>
              </w:rPr>
              <w:t xml:space="preserve">Etendre la mise en œuvre dans les 47 districts prioritaires des approches innovantes pour l'implication des conjoints des FE/FA+ </w:t>
            </w:r>
            <w:r w:rsidR="007E42F2" w:rsidRPr="00750CA9">
              <w:rPr>
                <w:lang w:val="fr-FR"/>
              </w:rPr>
              <w:t xml:space="preserve">(couple modèle) </w:t>
            </w:r>
            <w:r w:rsidRPr="00750CA9">
              <w:rPr>
                <w:lang w:val="fr-FR"/>
              </w:rPr>
              <w:t>dans le suivi du couple mère-enfant.</w:t>
            </w:r>
          </w:p>
          <w:p w14:paraId="160CA720" w14:textId="604944D6" w:rsidR="007E42F2" w:rsidRPr="00750CA9" w:rsidRDefault="00B744DE" w:rsidP="00390EA4">
            <w:pPr>
              <w:pStyle w:val="liste1"/>
              <w:rPr>
                <w:lang w:val="fr-FR"/>
              </w:rPr>
            </w:pPr>
            <w:r w:rsidRPr="00750CA9">
              <w:rPr>
                <w:lang w:val="fr-FR"/>
              </w:rPr>
              <w:t xml:space="preserve">Organiser une remise de kits néonatal (savon en poudre exemple OMO, couches, un complet de pagne etc..) lors de la journée internationale des droits de la femme </w:t>
            </w:r>
            <w:r w:rsidR="00627815">
              <w:rPr>
                <w:lang w:val="fr-FR"/>
              </w:rPr>
              <w:t>aux</w:t>
            </w:r>
            <w:r w:rsidRPr="00750CA9">
              <w:rPr>
                <w:lang w:val="fr-FR"/>
              </w:rPr>
              <w:t xml:space="preserve"> FE/FA vivant avec le VIH (montant et la composition du kit a estimé)</w:t>
            </w:r>
          </w:p>
          <w:p w14:paraId="04E3E8C1" w14:textId="15EF2043" w:rsidR="00B744DE" w:rsidRPr="00750CA9" w:rsidRDefault="007E42F2" w:rsidP="00390EA4">
            <w:pPr>
              <w:pStyle w:val="liste1"/>
              <w:rPr>
                <w:lang w:val="fr-FR"/>
              </w:rPr>
            </w:pPr>
            <w:r w:rsidRPr="00750CA9">
              <w:rPr>
                <w:lang w:val="fr-FR"/>
              </w:rPr>
              <w:t xml:space="preserve">Reproduire et diffuser </w:t>
            </w:r>
            <w:r w:rsidR="00DB5A85">
              <w:t>des</w:t>
            </w:r>
            <w:r w:rsidR="00DB5A85" w:rsidRPr="00750CA9">
              <w:rPr>
                <w:lang w:val="fr-FR"/>
              </w:rPr>
              <w:t xml:space="preserve"> </w:t>
            </w:r>
            <w:r w:rsidRPr="00750CA9">
              <w:rPr>
                <w:lang w:val="fr-FR"/>
              </w:rPr>
              <w:t>Agendas de gestion de RDV pour améliorer la rétention du couple mère-enfant</w:t>
            </w:r>
            <w:r w:rsidR="00B744DE" w:rsidRPr="00750CA9">
              <w:rPr>
                <w:lang w:val="fr-FR"/>
              </w:rPr>
              <w:t> </w:t>
            </w:r>
          </w:p>
          <w:p w14:paraId="03809A27" w14:textId="77777777" w:rsidR="00F21C98" w:rsidRPr="00750CA9" w:rsidRDefault="00F21C98" w:rsidP="00390EA4">
            <w:pPr>
              <w:pStyle w:val="liste1"/>
              <w:rPr>
                <w:lang w:val="fr-FR"/>
              </w:rPr>
            </w:pPr>
            <w:r w:rsidRPr="00750CA9">
              <w:rPr>
                <w:lang w:val="fr-FR"/>
              </w:rPr>
              <w:t>Réaliser 255 séances de sensibilisation de proximité à l'endroit des femmes enceintes et allaitantes vivant avec le VIH et leurs conjoints sur l'utilisation continue des services d’</w:t>
            </w:r>
            <w:proofErr w:type="spellStart"/>
            <w:r w:rsidRPr="00750CA9">
              <w:rPr>
                <w:lang w:val="fr-FR"/>
              </w:rPr>
              <w:t>eTME</w:t>
            </w:r>
            <w:proofErr w:type="spellEnd"/>
            <w:r w:rsidRPr="00750CA9">
              <w:rPr>
                <w:lang w:val="fr-FR"/>
              </w:rPr>
              <w:t xml:space="preserve"> et sur l'accouchement dans un établissement de santé.</w:t>
            </w:r>
          </w:p>
          <w:p w14:paraId="196A108B" w14:textId="77777777" w:rsidR="00B744DE" w:rsidRPr="00F272A1" w:rsidRDefault="00B744DE" w:rsidP="00146119">
            <w:pPr>
              <w:pStyle w:val="NormalJBGS"/>
              <w:jc w:val="both"/>
              <w:rPr>
                <w:rFonts w:eastAsia="Times New Roman" w:cs="Arial"/>
                <w:i w:val="0"/>
                <w:iCs w:val="0"/>
                <w:color w:val="auto"/>
                <w:sz w:val="22"/>
                <w:szCs w:val="22"/>
                <w:lang w:val="fr-FR"/>
              </w:rPr>
            </w:pPr>
          </w:p>
          <w:p w14:paraId="6E92CD3F" w14:textId="64EF1E7C" w:rsidR="00146119" w:rsidRPr="004D0D5B" w:rsidRDefault="00146119" w:rsidP="006F6940">
            <w:pPr>
              <w:pStyle w:val="Default"/>
              <w:numPr>
                <w:ilvl w:val="0"/>
                <w:numId w:val="38"/>
              </w:numPr>
              <w:rPr>
                <w:b/>
                <w:iCs/>
                <w:color w:val="auto"/>
                <w:sz w:val="22"/>
                <w:szCs w:val="22"/>
                <w:lang w:val="fr-CI"/>
              </w:rPr>
            </w:pPr>
            <w:r w:rsidRPr="004D0D5B">
              <w:rPr>
                <w:b/>
                <w:iCs/>
                <w:color w:val="auto"/>
                <w:sz w:val="22"/>
                <w:szCs w:val="22"/>
                <w:lang w:val="fr-CI"/>
              </w:rPr>
              <w:t>Traitement, prise en charge et soutien des mères vivant avec le VIH, de leurs enfants et famille</w:t>
            </w:r>
            <w:r w:rsidR="00F8483A">
              <w:rPr>
                <w:b/>
                <w:iCs/>
                <w:color w:val="auto"/>
                <w:sz w:val="22"/>
                <w:szCs w:val="22"/>
                <w:lang w:val="fr-CI"/>
              </w:rPr>
              <w:t>s</w:t>
            </w:r>
          </w:p>
          <w:p w14:paraId="44723271" w14:textId="23885946" w:rsidR="00A9185E" w:rsidRDefault="00A9185E" w:rsidP="004E1C7A">
            <w:pPr>
              <w:pStyle w:val="Texteformulaire"/>
              <w:rPr>
                <w:lang w:val="fr-FR"/>
              </w:rPr>
            </w:pPr>
            <w:r>
              <w:rPr>
                <w:lang w:val="fr-CI"/>
              </w:rPr>
              <w:t>Le taux de</w:t>
            </w:r>
            <w:r w:rsidR="00146119" w:rsidRPr="00666832">
              <w:rPr>
                <w:lang w:val="fr-CI"/>
              </w:rPr>
              <w:t xml:space="preserve"> Transmission Mère-enfant du VIH reste élevé</w:t>
            </w:r>
            <w:r>
              <w:rPr>
                <w:lang w:val="fr-CI"/>
              </w:rPr>
              <w:t xml:space="preserve"> (</w:t>
            </w:r>
            <w:r w:rsidR="00146119" w:rsidRPr="00666832">
              <w:rPr>
                <w:lang w:val="fr-CI"/>
              </w:rPr>
              <w:t xml:space="preserve">estimée </w:t>
            </w:r>
            <w:r w:rsidR="00146119" w:rsidRPr="00666832">
              <w:rPr>
                <w:lang w:val="fr-FR"/>
              </w:rPr>
              <w:t xml:space="preserve">à </w:t>
            </w:r>
            <w:r w:rsidR="00146119" w:rsidRPr="00666832">
              <w:rPr>
                <w:b/>
                <w:bCs/>
                <w:lang w:val="fr-FR"/>
              </w:rPr>
              <w:t>10,9%</w:t>
            </w:r>
            <w:r w:rsidR="00146119">
              <w:rPr>
                <w:lang w:val="fr-FR"/>
              </w:rPr>
              <w:t xml:space="preserve"> en 2019</w:t>
            </w:r>
            <w:r>
              <w:rPr>
                <w:lang w:val="fr-FR"/>
              </w:rPr>
              <w:t>)</w:t>
            </w:r>
            <w:r w:rsidR="00146119" w:rsidRPr="00666832">
              <w:rPr>
                <w:lang w:val="fr-FR"/>
              </w:rPr>
              <w:t>.</w:t>
            </w:r>
            <w:r w:rsidRPr="00666832">
              <w:rPr>
                <w:lang w:val="fr-FR"/>
              </w:rPr>
              <w:t xml:space="preserve"> </w:t>
            </w:r>
            <w:r>
              <w:rPr>
                <w:lang w:val="fr-FR"/>
              </w:rPr>
              <w:t xml:space="preserve">En </w:t>
            </w:r>
            <w:r w:rsidR="00DB5A85">
              <w:rPr>
                <w:lang w:val="fr-FR"/>
              </w:rPr>
              <w:t>2019</w:t>
            </w:r>
            <w:r>
              <w:rPr>
                <w:lang w:val="fr-FR"/>
              </w:rPr>
              <w:t xml:space="preserve">, </w:t>
            </w:r>
            <w:r w:rsidRPr="00666832">
              <w:rPr>
                <w:lang w:val="fr-FR"/>
              </w:rPr>
              <w:t xml:space="preserve">63% </w:t>
            </w:r>
            <w:r>
              <w:rPr>
                <w:lang w:val="fr-FR"/>
              </w:rPr>
              <w:t xml:space="preserve">des enfants exposés </w:t>
            </w:r>
            <w:r w:rsidRPr="00666832">
              <w:rPr>
                <w:lang w:val="fr-FR"/>
              </w:rPr>
              <w:t>ont bénéfic</w:t>
            </w:r>
            <w:r>
              <w:rPr>
                <w:lang w:val="fr-FR"/>
              </w:rPr>
              <w:t>ié de la prophylaxie ARV</w:t>
            </w:r>
            <w:r w:rsidR="00DB5A85">
              <w:rPr>
                <w:lang w:val="fr-FR"/>
              </w:rPr>
              <w:t xml:space="preserve"> et seulement </w:t>
            </w:r>
            <w:r w:rsidR="00DB5A85" w:rsidRPr="00666832">
              <w:rPr>
                <w:lang w:val="fr-FR"/>
              </w:rPr>
              <w:t>53% seulement du dépistage précoce (PCR VIH) avant 02 mois de vie</w:t>
            </w:r>
            <w:r w:rsidR="00DB5A85">
              <w:rPr>
                <w:lang w:val="fr-FR"/>
              </w:rPr>
              <w:t xml:space="preserve">. </w:t>
            </w:r>
          </w:p>
          <w:p w14:paraId="611CF7BC" w14:textId="117CE996" w:rsidR="00A9185E" w:rsidRDefault="00A9185E" w:rsidP="004E1C7A">
            <w:pPr>
              <w:pStyle w:val="Texteformulaire"/>
              <w:rPr>
                <w:lang w:val="fr-FR"/>
              </w:rPr>
            </w:pPr>
            <w:r>
              <w:rPr>
                <w:lang w:val="fr-FR"/>
              </w:rPr>
              <w:t>L</w:t>
            </w:r>
            <w:r w:rsidR="00146119" w:rsidRPr="00666832">
              <w:rPr>
                <w:lang w:val="fr-FR"/>
              </w:rPr>
              <w:t>es</w:t>
            </w:r>
            <w:r>
              <w:rPr>
                <w:lang w:val="fr-FR"/>
              </w:rPr>
              <w:t xml:space="preserve"> principaux</w:t>
            </w:r>
            <w:r w:rsidR="00146119" w:rsidRPr="00666832">
              <w:rPr>
                <w:lang w:val="fr-FR"/>
              </w:rPr>
              <w:t xml:space="preserve"> défis sont : (i) dépister le plus grand nombre d’enfants exposés précocement (avant 2 mois d’âge de préférence) ; (ii) garantir la poursuite du TARV chez les femmes allaitantes selon les directives nationales pour réduire les contaminations tardives ; et (iii) garantir la rétention </w:t>
            </w:r>
            <w:r w:rsidR="00146119">
              <w:rPr>
                <w:lang w:val="fr-FR"/>
              </w:rPr>
              <w:t xml:space="preserve">durable </w:t>
            </w:r>
            <w:r w:rsidR="00146119" w:rsidRPr="00666832">
              <w:rPr>
                <w:lang w:val="fr-FR"/>
              </w:rPr>
              <w:t xml:space="preserve">du couple mère-enfant jusqu'au statut définitif de l'enfant exposé. </w:t>
            </w:r>
          </w:p>
          <w:p w14:paraId="66B09335" w14:textId="2DFFD166" w:rsidR="00146119" w:rsidRPr="004F17D4" w:rsidRDefault="004F17D4" w:rsidP="004E1C7A">
            <w:pPr>
              <w:pStyle w:val="Texteformulaire"/>
              <w:rPr>
                <w:lang w:val="fr-FR"/>
              </w:rPr>
            </w:pPr>
            <w:r>
              <w:rPr>
                <w:rFonts w:eastAsia="Times New Roman"/>
                <w:lang w:val="fr-FR"/>
              </w:rPr>
              <w:t xml:space="preserve">Les principales activités </w:t>
            </w:r>
            <w:r w:rsidR="00A9185E">
              <w:rPr>
                <w:rFonts w:eastAsia="Times New Roman"/>
                <w:lang w:val="fr-FR"/>
              </w:rPr>
              <w:t xml:space="preserve">prévues </w:t>
            </w:r>
            <w:r>
              <w:rPr>
                <w:rFonts w:eastAsia="Times New Roman"/>
                <w:lang w:val="fr-FR"/>
              </w:rPr>
              <w:t>sont :</w:t>
            </w:r>
          </w:p>
          <w:p w14:paraId="1F0C5875" w14:textId="0A7F02AC" w:rsidR="00146119" w:rsidRPr="00390EA4" w:rsidRDefault="00146119" w:rsidP="00390EA4">
            <w:pPr>
              <w:pStyle w:val="liste1"/>
            </w:pPr>
            <w:r w:rsidRPr="00390EA4">
              <w:lastRenderedPageBreak/>
              <w:t xml:space="preserve">Identifier et </w:t>
            </w:r>
            <w:proofErr w:type="spellStart"/>
            <w:r w:rsidRPr="00390EA4">
              <w:t>renforcer</w:t>
            </w:r>
            <w:proofErr w:type="spellEnd"/>
            <w:r w:rsidRPr="00390EA4">
              <w:t xml:space="preserve"> les </w:t>
            </w:r>
            <w:proofErr w:type="spellStart"/>
            <w:r w:rsidRPr="00390EA4">
              <w:t>capacités</w:t>
            </w:r>
            <w:proofErr w:type="spellEnd"/>
            <w:r w:rsidRPr="00390EA4">
              <w:t xml:space="preserve"> des OBC et </w:t>
            </w:r>
            <w:proofErr w:type="spellStart"/>
            <w:r w:rsidRPr="00390EA4">
              <w:t>acteurs</w:t>
            </w:r>
            <w:proofErr w:type="spellEnd"/>
            <w:r w:rsidRPr="00390EA4">
              <w:t xml:space="preserve"> </w:t>
            </w:r>
            <w:proofErr w:type="spellStart"/>
            <w:r w:rsidRPr="00390EA4">
              <w:t>communautaires</w:t>
            </w:r>
            <w:proofErr w:type="spellEnd"/>
            <w:r w:rsidRPr="00390EA4">
              <w:t xml:space="preserve"> pour </w:t>
            </w:r>
            <w:proofErr w:type="spellStart"/>
            <w:r w:rsidRPr="00390EA4">
              <w:t>leur</w:t>
            </w:r>
            <w:proofErr w:type="spellEnd"/>
            <w:r w:rsidRPr="00390EA4">
              <w:t xml:space="preserve"> implication active dans le </w:t>
            </w:r>
            <w:proofErr w:type="spellStart"/>
            <w:r w:rsidRPr="00390EA4">
              <w:t>processus</w:t>
            </w:r>
            <w:proofErr w:type="spellEnd"/>
            <w:r w:rsidRPr="00390EA4">
              <w:t xml:space="preserve"> de </w:t>
            </w:r>
            <w:proofErr w:type="spellStart"/>
            <w:r w:rsidRPr="00390EA4">
              <w:t>l'eTME</w:t>
            </w:r>
            <w:proofErr w:type="spellEnd"/>
          </w:p>
          <w:p w14:paraId="37AA522D" w14:textId="45962580" w:rsidR="00146119" w:rsidRPr="00390EA4" w:rsidRDefault="00146119" w:rsidP="00390EA4">
            <w:pPr>
              <w:pStyle w:val="liste1"/>
            </w:pPr>
            <w:proofErr w:type="spellStart"/>
            <w:r w:rsidRPr="00390EA4">
              <w:t>Réaliser</w:t>
            </w:r>
            <w:proofErr w:type="spellEnd"/>
            <w:r w:rsidRPr="00390EA4">
              <w:t xml:space="preserve"> 74 832 VAD avec </w:t>
            </w:r>
            <w:proofErr w:type="spellStart"/>
            <w:r w:rsidRPr="00390EA4">
              <w:t>l'appui</w:t>
            </w:r>
            <w:proofErr w:type="spellEnd"/>
            <w:r w:rsidRPr="00390EA4">
              <w:t xml:space="preserve"> des </w:t>
            </w:r>
            <w:proofErr w:type="spellStart"/>
            <w:r w:rsidRPr="00390EA4">
              <w:t>communautaires</w:t>
            </w:r>
            <w:proofErr w:type="spellEnd"/>
            <w:r w:rsidRPr="00390EA4">
              <w:t xml:space="preserve"> pour assurer le </w:t>
            </w:r>
            <w:proofErr w:type="spellStart"/>
            <w:r w:rsidRPr="00390EA4">
              <w:t>suivi</w:t>
            </w:r>
            <w:proofErr w:type="spellEnd"/>
            <w:r w:rsidRPr="00390EA4">
              <w:t xml:space="preserve"> </w:t>
            </w:r>
            <w:proofErr w:type="spellStart"/>
            <w:r w:rsidRPr="00390EA4">
              <w:t>actif</w:t>
            </w:r>
            <w:proofErr w:type="spellEnd"/>
            <w:r w:rsidRPr="00390EA4">
              <w:t xml:space="preserve"> et la recherche de perdues de </w:t>
            </w:r>
            <w:proofErr w:type="spellStart"/>
            <w:r w:rsidRPr="00390EA4">
              <w:t>vue</w:t>
            </w:r>
            <w:proofErr w:type="spellEnd"/>
            <w:r w:rsidRPr="00390EA4">
              <w:t xml:space="preserve"> </w:t>
            </w:r>
            <w:proofErr w:type="spellStart"/>
            <w:r w:rsidRPr="00390EA4">
              <w:t>afin</w:t>
            </w:r>
            <w:proofErr w:type="spellEnd"/>
            <w:r w:rsidRPr="00390EA4">
              <w:t xml:space="preserve"> </w:t>
            </w:r>
            <w:proofErr w:type="spellStart"/>
            <w:r w:rsidRPr="00390EA4">
              <w:t>d'améliorer</w:t>
            </w:r>
            <w:proofErr w:type="spellEnd"/>
            <w:r w:rsidRPr="00390EA4">
              <w:t xml:space="preserve"> la </w:t>
            </w:r>
            <w:proofErr w:type="spellStart"/>
            <w:r w:rsidRPr="00390EA4">
              <w:t>rétention</w:t>
            </w:r>
            <w:proofErr w:type="spellEnd"/>
            <w:r w:rsidRPr="00390EA4">
              <w:t xml:space="preserve"> du couple </w:t>
            </w:r>
            <w:proofErr w:type="spellStart"/>
            <w:r w:rsidRPr="00390EA4">
              <w:t>mère</w:t>
            </w:r>
            <w:proofErr w:type="spellEnd"/>
            <w:r w:rsidRPr="00390EA4">
              <w:t xml:space="preserve">-enfant dans les </w:t>
            </w:r>
            <w:proofErr w:type="spellStart"/>
            <w:r w:rsidRPr="00390EA4">
              <w:t>soins</w:t>
            </w:r>
            <w:proofErr w:type="spellEnd"/>
          </w:p>
          <w:p w14:paraId="03BA03D3" w14:textId="4C942220" w:rsidR="004F17D4" w:rsidRPr="00390EA4" w:rsidRDefault="00146119" w:rsidP="00390EA4">
            <w:pPr>
              <w:pStyle w:val="liste1"/>
            </w:pPr>
            <w:proofErr w:type="spellStart"/>
            <w:r w:rsidRPr="00390EA4">
              <w:t>Elaborer</w:t>
            </w:r>
            <w:proofErr w:type="spellEnd"/>
            <w:r w:rsidRPr="00390EA4">
              <w:t xml:space="preserve"> et diffuser un aide-mémoire </w:t>
            </w:r>
            <w:proofErr w:type="spellStart"/>
            <w:r w:rsidRPr="00390EA4">
              <w:t>simplifié</w:t>
            </w:r>
            <w:proofErr w:type="spellEnd"/>
            <w:r w:rsidRPr="00390EA4">
              <w:t xml:space="preserve"> sur la PTME à </w:t>
            </w:r>
            <w:proofErr w:type="spellStart"/>
            <w:r w:rsidRPr="00390EA4">
              <w:t>l'endroit</w:t>
            </w:r>
            <w:proofErr w:type="spellEnd"/>
            <w:r w:rsidRPr="00390EA4">
              <w:t xml:space="preserve"> des </w:t>
            </w:r>
            <w:proofErr w:type="spellStart"/>
            <w:r w:rsidR="004B4B2F" w:rsidRPr="00390EA4">
              <w:t>acteurs</w:t>
            </w:r>
            <w:proofErr w:type="spellEnd"/>
            <w:r w:rsidR="004B4B2F" w:rsidRPr="00390EA4">
              <w:t xml:space="preserve"> </w:t>
            </w:r>
            <w:proofErr w:type="spellStart"/>
            <w:r w:rsidRPr="00390EA4">
              <w:t>communautaires</w:t>
            </w:r>
            <w:proofErr w:type="spellEnd"/>
            <w:r w:rsidRPr="00390EA4">
              <w:t xml:space="preserve"> </w:t>
            </w:r>
            <w:proofErr w:type="spellStart"/>
            <w:r w:rsidRPr="00390EA4">
              <w:t>en</w:t>
            </w:r>
            <w:proofErr w:type="spellEnd"/>
            <w:r w:rsidRPr="00390EA4">
              <w:t xml:space="preserve"> </w:t>
            </w:r>
            <w:proofErr w:type="spellStart"/>
            <w:r w:rsidRPr="00390EA4">
              <w:t>vue</w:t>
            </w:r>
            <w:proofErr w:type="spellEnd"/>
            <w:r w:rsidRPr="00390EA4">
              <w:t xml:space="preserve"> </w:t>
            </w:r>
            <w:proofErr w:type="spellStart"/>
            <w:r w:rsidRPr="00390EA4">
              <w:t>d'améliorer</w:t>
            </w:r>
            <w:proofErr w:type="spellEnd"/>
            <w:r w:rsidRPr="00390EA4">
              <w:t xml:space="preserve"> le </w:t>
            </w:r>
            <w:proofErr w:type="spellStart"/>
            <w:r w:rsidRPr="00390EA4">
              <w:t>suivi</w:t>
            </w:r>
            <w:proofErr w:type="spellEnd"/>
            <w:r w:rsidRPr="00390EA4">
              <w:t xml:space="preserve"> du </w:t>
            </w:r>
            <w:proofErr w:type="spellStart"/>
            <w:r w:rsidRPr="00390EA4">
              <w:t>coule</w:t>
            </w:r>
            <w:proofErr w:type="spellEnd"/>
            <w:r w:rsidRPr="00390EA4">
              <w:t xml:space="preserve"> </w:t>
            </w:r>
            <w:proofErr w:type="spellStart"/>
            <w:r w:rsidRPr="00390EA4">
              <w:t>mère</w:t>
            </w:r>
            <w:proofErr w:type="spellEnd"/>
            <w:r w:rsidRPr="00390EA4">
              <w:t>-enfant</w:t>
            </w:r>
            <w:r w:rsidR="00A9185E" w:rsidRPr="00390EA4">
              <w:t xml:space="preserve"> (</w:t>
            </w:r>
            <w:proofErr w:type="spellStart"/>
            <w:r w:rsidR="00A9185E" w:rsidRPr="00390EA4">
              <w:t>notamment</w:t>
            </w:r>
            <w:proofErr w:type="spellEnd"/>
            <w:r w:rsidR="00A9185E" w:rsidRPr="00390EA4">
              <w:t xml:space="preserve"> </w:t>
            </w:r>
            <w:proofErr w:type="spellStart"/>
            <w:r w:rsidR="00A9185E" w:rsidRPr="00390EA4">
              <w:t>visant</w:t>
            </w:r>
            <w:proofErr w:type="spellEnd"/>
            <w:r w:rsidR="00A9185E" w:rsidRPr="00390EA4">
              <w:t xml:space="preserve"> les </w:t>
            </w:r>
            <w:proofErr w:type="spellStart"/>
            <w:r w:rsidR="00A9185E" w:rsidRPr="00390EA4">
              <w:t>mères</w:t>
            </w:r>
            <w:proofErr w:type="spellEnd"/>
            <w:r w:rsidR="00A9185E" w:rsidRPr="00390EA4">
              <w:t xml:space="preserve"> tutrices)</w:t>
            </w:r>
          </w:p>
          <w:p w14:paraId="7AF55DE2" w14:textId="695A5651" w:rsidR="00146119" w:rsidRPr="00390EA4" w:rsidRDefault="00146119" w:rsidP="00390EA4">
            <w:pPr>
              <w:pStyle w:val="liste1"/>
            </w:pPr>
            <w:proofErr w:type="spellStart"/>
            <w:r w:rsidRPr="00390EA4">
              <w:t>Réaliser</w:t>
            </w:r>
            <w:proofErr w:type="spellEnd"/>
            <w:r w:rsidRPr="00390EA4">
              <w:t xml:space="preserve"> 333 360 séances de </w:t>
            </w:r>
            <w:proofErr w:type="spellStart"/>
            <w:r w:rsidRPr="00390EA4">
              <w:t>sensibilisation</w:t>
            </w:r>
            <w:proofErr w:type="spellEnd"/>
            <w:r w:rsidRPr="00390EA4">
              <w:t xml:space="preserve"> </w:t>
            </w:r>
            <w:proofErr w:type="spellStart"/>
            <w:r w:rsidRPr="00390EA4">
              <w:t>communautaires</w:t>
            </w:r>
            <w:proofErr w:type="spellEnd"/>
            <w:r w:rsidRPr="00390EA4">
              <w:t xml:space="preserve"> sur </w:t>
            </w:r>
            <w:proofErr w:type="spellStart"/>
            <w:r w:rsidRPr="00390EA4">
              <w:t>l'importance</w:t>
            </w:r>
            <w:proofErr w:type="spellEnd"/>
            <w:r w:rsidRPr="00390EA4">
              <w:t xml:space="preserve"> de </w:t>
            </w:r>
            <w:proofErr w:type="spellStart"/>
            <w:r w:rsidRPr="00390EA4">
              <w:t>l'accouchement</w:t>
            </w:r>
            <w:proofErr w:type="spellEnd"/>
            <w:r w:rsidRPr="00390EA4">
              <w:t xml:space="preserve"> </w:t>
            </w:r>
            <w:proofErr w:type="spellStart"/>
            <w:r w:rsidRPr="00390EA4">
              <w:t>assisté</w:t>
            </w:r>
            <w:proofErr w:type="spellEnd"/>
            <w:r w:rsidRPr="00390EA4">
              <w:t xml:space="preserve"> par un personnel </w:t>
            </w:r>
            <w:proofErr w:type="spellStart"/>
            <w:r w:rsidRPr="00390EA4">
              <w:t>qualifié</w:t>
            </w:r>
            <w:proofErr w:type="spellEnd"/>
            <w:r w:rsidRPr="00390EA4">
              <w:t xml:space="preserve"> et sur la </w:t>
            </w:r>
            <w:proofErr w:type="spellStart"/>
            <w:r w:rsidRPr="00390EA4">
              <w:t>référence</w:t>
            </w:r>
            <w:proofErr w:type="spellEnd"/>
            <w:r w:rsidRPr="00390EA4">
              <w:t xml:space="preserve"> active dans les 72 </w:t>
            </w:r>
            <w:proofErr w:type="spellStart"/>
            <w:r w:rsidRPr="00390EA4">
              <w:t>heures</w:t>
            </w:r>
            <w:proofErr w:type="spellEnd"/>
            <w:r w:rsidRPr="00390EA4">
              <w:t xml:space="preserve"> des femmes </w:t>
            </w:r>
            <w:proofErr w:type="spellStart"/>
            <w:r w:rsidRPr="00390EA4">
              <w:t>ayant</w:t>
            </w:r>
            <w:proofErr w:type="spellEnd"/>
            <w:r w:rsidRPr="00390EA4">
              <w:t xml:space="preserve"> </w:t>
            </w:r>
            <w:proofErr w:type="spellStart"/>
            <w:r w:rsidRPr="00390EA4">
              <w:t>accouché</w:t>
            </w:r>
            <w:proofErr w:type="spellEnd"/>
            <w:r w:rsidRPr="00390EA4">
              <w:t xml:space="preserve"> à domicile</w:t>
            </w:r>
          </w:p>
          <w:p w14:paraId="1A07444D" w14:textId="40D5A23B" w:rsidR="00B3371A" w:rsidRPr="00390EA4" w:rsidRDefault="00B3371A" w:rsidP="00390EA4">
            <w:pPr>
              <w:pStyle w:val="liste1"/>
            </w:pPr>
            <w:proofErr w:type="spellStart"/>
            <w:r w:rsidRPr="00390EA4">
              <w:t>Renforcer</w:t>
            </w:r>
            <w:proofErr w:type="spellEnd"/>
            <w:r w:rsidRPr="00390EA4">
              <w:t xml:space="preserve"> les </w:t>
            </w:r>
            <w:proofErr w:type="spellStart"/>
            <w:r w:rsidRPr="00390EA4">
              <w:t>capacités</w:t>
            </w:r>
            <w:proofErr w:type="spellEnd"/>
            <w:r w:rsidRPr="00390EA4">
              <w:t xml:space="preserve"> des </w:t>
            </w:r>
            <w:proofErr w:type="spellStart"/>
            <w:r w:rsidRPr="00390EA4">
              <w:t>acteurs</w:t>
            </w:r>
            <w:proofErr w:type="spellEnd"/>
            <w:r w:rsidRPr="00390EA4">
              <w:t xml:space="preserve"> </w:t>
            </w:r>
            <w:proofErr w:type="spellStart"/>
            <w:r w:rsidRPr="00390EA4">
              <w:t>communautaires</w:t>
            </w:r>
            <w:proofErr w:type="spellEnd"/>
            <w:r w:rsidRPr="00390EA4">
              <w:t xml:space="preserve"> sur la recherche active des enfants exposés</w:t>
            </w:r>
          </w:p>
          <w:p w14:paraId="321F9938" w14:textId="3DDF1D76" w:rsidR="00146119" w:rsidRPr="00390EA4" w:rsidRDefault="00146119" w:rsidP="00390EA4">
            <w:pPr>
              <w:pStyle w:val="liste1"/>
            </w:pPr>
            <w:r w:rsidRPr="00390EA4">
              <w:t xml:space="preserve">Intensification de la recherche active des enfants exposés aux </w:t>
            </w:r>
            <w:proofErr w:type="spellStart"/>
            <w:r w:rsidRPr="00390EA4">
              <w:t>autres</w:t>
            </w:r>
            <w:proofErr w:type="spellEnd"/>
            <w:r w:rsidRPr="00390EA4">
              <w:t xml:space="preserve"> </w:t>
            </w:r>
            <w:proofErr w:type="spellStart"/>
            <w:r w:rsidRPr="00390EA4">
              <w:t>portes</w:t>
            </w:r>
            <w:proofErr w:type="spellEnd"/>
            <w:r w:rsidRPr="00390EA4">
              <w:t xml:space="preserve"> </w:t>
            </w:r>
            <w:proofErr w:type="spellStart"/>
            <w:r w:rsidRPr="00390EA4">
              <w:t>d’entrée</w:t>
            </w:r>
            <w:proofErr w:type="spellEnd"/>
            <w:r w:rsidRPr="00390EA4">
              <w:t xml:space="preserve"> hors PTME et dans la </w:t>
            </w:r>
            <w:proofErr w:type="spellStart"/>
            <w:r w:rsidRPr="00390EA4">
              <w:t>communauté</w:t>
            </w:r>
            <w:proofErr w:type="spellEnd"/>
            <w:r w:rsidR="00A9185E" w:rsidRPr="00390EA4">
              <w:t xml:space="preserve">, </w:t>
            </w:r>
            <w:proofErr w:type="spellStart"/>
            <w:r w:rsidR="00A9185E" w:rsidRPr="00390EA4">
              <w:t>notamment</w:t>
            </w:r>
            <w:proofErr w:type="spellEnd"/>
            <w:r w:rsidR="00A9185E" w:rsidRPr="00390EA4">
              <w:t xml:space="preserve"> par </w:t>
            </w:r>
            <w:r w:rsidR="00A9185E" w:rsidRPr="00390EA4">
              <w:rPr>
                <w:lang w:val="fr-CI"/>
              </w:rPr>
              <w:t>les couples modèles (mère tutrice et son conjoint)</w:t>
            </w:r>
          </w:p>
          <w:p w14:paraId="697DBC92" w14:textId="77777777" w:rsidR="00B635F9" w:rsidRPr="00390EA4" w:rsidRDefault="00B635F9" w:rsidP="00390EA4">
            <w:pPr>
              <w:pStyle w:val="liste1"/>
            </w:pPr>
            <w:r w:rsidRPr="00390EA4">
              <w:rPr>
                <w:lang w:val="fr-CI"/>
              </w:rPr>
              <w:t xml:space="preserve">Sensibiliser les couples sur les VBG et </w:t>
            </w:r>
            <w:proofErr w:type="gramStart"/>
            <w:r w:rsidRPr="00390EA4">
              <w:rPr>
                <w:lang w:val="fr-CI"/>
              </w:rPr>
              <w:t>la</w:t>
            </w:r>
            <w:proofErr w:type="gramEnd"/>
            <w:r w:rsidRPr="00390EA4">
              <w:rPr>
                <w:lang w:val="fr-CI"/>
              </w:rPr>
              <w:t xml:space="preserve"> SSR/PF</w:t>
            </w:r>
          </w:p>
          <w:p w14:paraId="17B81B69" w14:textId="4F464E11" w:rsidR="00B635F9" w:rsidRPr="00390EA4" w:rsidRDefault="00B635F9" w:rsidP="00390EA4">
            <w:pPr>
              <w:pStyle w:val="liste1"/>
            </w:pPr>
            <w:r w:rsidRPr="00390EA4">
              <w:rPr>
                <w:lang w:val="fr-CI"/>
              </w:rPr>
              <w:t xml:space="preserve">Apporter un appui aux </w:t>
            </w:r>
            <w:r w:rsidR="00B3371A" w:rsidRPr="00390EA4">
              <w:rPr>
                <w:lang w:val="fr-CI"/>
              </w:rPr>
              <w:t xml:space="preserve">FVVIH </w:t>
            </w:r>
            <w:r w:rsidRPr="00390EA4">
              <w:rPr>
                <w:lang w:val="fr-CI"/>
              </w:rPr>
              <w:t>de la PTME victimes de VBG</w:t>
            </w:r>
          </w:p>
          <w:p w14:paraId="0D121C10" w14:textId="1EB0FC23" w:rsidR="00F8483A" w:rsidRPr="00390EA4" w:rsidRDefault="00F8483A" w:rsidP="00390EA4">
            <w:pPr>
              <w:pStyle w:val="liste1"/>
            </w:pPr>
            <w:proofErr w:type="spellStart"/>
            <w:r w:rsidRPr="00390EA4">
              <w:t>Organiser</w:t>
            </w:r>
            <w:proofErr w:type="spellEnd"/>
            <w:r w:rsidRPr="00390EA4">
              <w:t xml:space="preserve"> des </w:t>
            </w:r>
            <w:proofErr w:type="spellStart"/>
            <w:r w:rsidRPr="00390EA4">
              <w:t>réunions</w:t>
            </w:r>
            <w:proofErr w:type="spellEnd"/>
            <w:r w:rsidRPr="00390EA4">
              <w:t xml:space="preserve"> des </w:t>
            </w:r>
            <w:proofErr w:type="spellStart"/>
            <w:r w:rsidRPr="00390EA4">
              <w:t>groupes</w:t>
            </w:r>
            <w:proofErr w:type="spellEnd"/>
            <w:r w:rsidRPr="00390EA4">
              <w:t xml:space="preserve"> </w:t>
            </w:r>
            <w:proofErr w:type="spellStart"/>
            <w:r w:rsidRPr="00390EA4">
              <w:t>d’auto</w:t>
            </w:r>
            <w:proofErr w:type="spellEnd"/>
            <w:r w:rsidRPr="00390EA4">
              <w:t xml:space="preserve">-support FE/FA PVVIH </w:t>
            </w:r>
            <w:r w:rsidR="00B3371A" w:rsidRPr="00390EA4">
              <w:t xml:space="preserve">pour </w:t>
            </w:r>
            <w:proofErr w:type="spellStart"/>
            <w:r w:rsidRPr="00390EA4">
              <w:t>améliorer</w:t>
            </w:r>
            <w:proofErr w:type="spellEnd"/>
            <w:r w:rsidRPr="00390EA4">
              <w:t xml:space="preserve"> </w:t>
            </w:r>
            <w:proofErr w:type="spellStart"/>
            <w:r w:rsidRPr="00390EA4">
              <w:t>leur</w:t>
            </w:r>
            <w:proofErr w:type="spellEnd"/>
            <w:r w:rsidRPr="00390EA4">
              <w:t xml:space="preserve"> </w:t>
            </w:r>
            <w:proofErr w:type="spellStart"/>
            <w:r w:rsidRPr="00390EA4">
              <w:t>rétention</w:t>
            </w:r>
            <w:proofErr w:type="spellEnd"/>
            <w:r w:rsidRPr="00390EA4">
              <w:t xml:space="preserve"> durable dans les </w:t>
            </w:r>
            <w:proofErr w:type="spellStart"/>
            <w:r w:rsidRPr="00390EA4">
              <w:t>soins</w:t>
            </w:r>
            <w:proofErr w:type="spellEnd"/>
          </w:p>
          <w:p w14:paraId="04683423" w14:textId="49AA6AB0" w:rsidR="00B3371A" w:rsidRPr="00390EA4" w:rsidRDefault="00B3371A" w:rsidP="00390EA4">
            <w:pPr>
              <w:pStyle w:val="Texteformulaire"/>
              <w:rPr>
                <w:i/>
                <w:lang w:val="fr-FR"/>
              </w:rPr>
            </w:pPr>
            <w:r w:rsidRPr="00390EA4">
              <w:rPr>
                <w:lang w:val="fr-FR"/>
              </w:rPr>
              <w:t xml:space="preserve">Les interventions de PTME seront conduites dans l’ensemble du pays, avec un ciblage sur 47 DS prioritaires </w:t>
            </w:r>
            <w:r>
              <w:rPr>
                <w:lang w:val="fr-FR"/>
              </w:rPr>
              <w:t>du PSN</w:t>
            </w:r>
            <w:r w:rsidR="003040A8">
              <w:rPr>
                <w:lang w:val="fr-FR"/>
              </w:rPr>
              <w:t>,</w:t>
            </w:r>
            <w:r>
              <w:rPr>
                <w:lang w:val="fr-FR"/>
              </w:rPr>
              <w:t xml:space="preserve"> </w:t>
            </w:r>
            <w:r w:rsidRPr="00390EA4">
              <w:rPr>
                <w:lang w:val="fr-FR"/>
              </w:rPr>
              <w:t>regroupant 80% des besoins non couverts</w:t>
            </w:r>
            <w:r>
              <w:rPr>
                <w:lang w:val="fr-FR"/>
              </w:rPr>
              <w:t>. Le détail de la couverture par DS figure dans la cartographie ci-annexée, distinguant les contributions de PEPFAR</w:t>
            </w:r>
            <w:r w:rsidR="003040A8">
              <w:rPr>
                <w:lang w:val="fr-FR"/>
              </w:rPr>
              <w:t xml:space="preserve"> et</w:t>
            </w:r>
            <w:r>
              <w:rPr>
                <w:lang w:val="fr-FR"/>
              </w:rPr>
              <w:t xml:space="preserve"> du FM (appui clinique du PNLS et communautaire d’</w:t>
            </w:r>
            <w:r w:rsidRPr="006040DD">
              <w:rPr>
                <w:lang w:val="fr-FR"/>
              </w:rPr>
              <w:t>Alliance Côte d’Ivoir</w:t>
            </w:r>
            <w:r>
              <w:rPr>
                <w:lang w:val="fr-FR"/>
              </w:rPr>
              <w:t xml:space="preserve">e). </w:t>
            </w:r>
            <w:r w:rsidR="003040A8" w:rsidRPr="006040DD">
              <w:rPr>
                <w:lang w:val="fr-FR"/>
              </w:rPr>
              <w:t>Alliance Côte d’Ivoir</w:t>
            </w:r>
            <w:r w:rsidR="003040A8">
              <w:rPr>
                <w:lang w:val="fr-FR"/>
              </w:rPr>
              <w:t xml:space="preserve">e prévoit de couvrir </w:t>
            </w:r>
            <w:r w:rsidRPr="00390EA4">
              <w:rPr>
                <w:lang w:val="fr-FR"/>
              </w:rPr>
              <w:t xml:space="preserve">41 DS pour les interventions communautaires </w:t>
            </w:r>
            <w:r w:rsidR="003040A8">
              <w:rPr>
                <w:lang w:val="fr-FR"/>
              </w:rPr>
              <w:t>de PTME.</w:t>
            </w:r>
            <w:r w:rsidRPr="00390EA4">
              <w:rPr>
                <w:lang w:val="fr-FR"/>
              </w:rPr>
              <w:t xml:space="preserve">   </w:t>
            </w:r>
          </w:p>
          <w:p w14:paraId="71F90F41" w14:textId="5C27751A" w:rsidR="00AB286C" w:rsidRPr="00806742" w:rsidRDefault="00AB286C" w:rsidP="00AB286C">
            <w:pPr>
              <w:autoSpaceDE w:val="0"/>
              <w:autoSpaceDN w:val="0"/>
              <w:adjustRightInd w:val="0"/>
              <w:spacing w:after="0" w:line="240" w:lineRule="auto"/>
              <w:rPr>
                <w:b/>
                <w:bCs/>
                <w:iCs/>
                <w:color w:val="0070C0"/>
                <w:sz w:val="22"/>
                <w:szCs w:val="22"/>
              </w:rPr>
            </w:pPr>
            <w:r w:rsidRPr="00AB286C">
              <w:rPr>
                <w:b/>
                <w:bCs/>
                <w:iCs/>
                <w:sz w:val="22"/>
                <w:szCs w:val="22"/>
              </w:rPr>
              <w:t xml:space="preserve">Cf. </w:t>
            </w:r>
            <w:proofErr w:type="spellStart"/>
            <w:r w:rsidRPr="00AB286C">
              <w:rPr>
                <w:b/>
                <w:bCs/>
                <w:iCs/>
                <w:sz w:val="22"/>
                <w:szCs w:val="22"/>
              </w:rPr>
              <w:t>cartographie</w:t>
            </w:r>
            <w:proofErr w:type="spellEnd"/>
            <w:r w:rsidRPr="00AB286C">
              <w:rPr>
                <w:b/>
                <w:bCs/>
                <w:iCs/>
                <w:sz w:val="22"/>
                <w:szCs w:val="22"/>
              </w:rPr>
              <w:t xml:space="preserve"> de </w:t>
            </w:r>
            <w:proofErr w:type="spellStart"/>
            <w:r w:rsidRPr="00AB286C">
              <w:rPr>
                <w:b/>
                <w:bCs/>
                <w:iCs/>
                <w:sz w:val="22"/>
                <w:szCs w:val="22"/>
              </w:rPr>
              <w:t>l’offre</w:t>
            </w:r>
            <w:proofErr w:type="spellEnd"/>
            <w:r w:rsidRPr="00AB286C">
              <w:rPr>
                <w:b/>
                <w:bCs/>
                <w:iCs/>
                <w:sz w:val="22"/>
                <w:szCs w:val="22"/>
              </w:rPr>
              <w:t xml:space="preserve"> de services PEPFAR et FM</w:t>
            </w:r>
            <w:r w:rsidR="00806742">
              <w:rPr>
                <w:b/>
                <w:bCs/>
                <w:iCs/>
                <w:sz w:val="22"/>
                <w:szCs w:val="22"/>
              </w:rPr>
              <w:t xml:space="preserve"> </w:t>
            </w:r>
            <w:r w:rsidR="0002374C" w:rsidRPr="0002374C">
              <w:rPr>
                <w:i/>
                <w:sz w:val="22"/>
                <w:szCs w:val="22"/>
              </w:rPr>
              <w:t>(</w:t>
            </w:r>
            <w:proofErr w:type="spellStart"/>
            <w:r w:rsidR="0002374C" w:rsidRPr="0002374C">
              <w:rPr>
                <w:i/>
                <w:sz w:val="22"/>
                <w:szCs w:val="22"/>
              </w:rPr>
              <w:t>Annexe</w:t>
            </w:r>
            <w:proofErr w:type="spellEnd"/>
            <w:r w:rsidR="0002374C" w:rsidRPr="0002374C">
              <w:rPr>
                <w:i/>
                <w:sz w:val="22"/>
                <w:szCs w:val="22"/>
              </w:rPr>
              <w:t xml:space="preserve"> </w:t>
            </w:r>
            <w:r w:rsidR="0002374C">
              <w:rPr>
                <w:i/>
                <w:sz w:val="22"/>
                <w:szCs w:val="22"/>
              </w:rPr>
              <w:t>27</w:t>
            </w:r>
            <w:r w:rsidR="0002374C" w:rsidRPr="0002374C">
              <w:rPr>
                <w:i/>
                <w:sz w:val="22"/>
                <w:szCs w:val="22"/>
              </w:rPr>
              <w:t>)</w:t>
            </w:r>
          </w:p>
          <w:p w14:paraId="2A67B9F4" w14:textId="425FD848" w:rsidR="00B1010C" w:rsidRPr="00390EA4" w:rsidRDefault="00B1010C" w:rsidP="004E4290">
            <w:pPr>
              <w:pStyle w:val="NormalJBGS"/>
              <w:rPr>
                <w:b/>
                <w:bCs/>
                <w:i w:val="0"/>
                <w:color w:val="auto"/>
                <w:lang w:val="fr-FR"/>
              </w:rPr>
            </w:pPr>
          </w:p>
        </w:tc>
      </w:tr>
      <w:tr w:rsidR="004F17D4" w:rsidRPr="0037522B" w14:paraId="6E416819" w14:textId="77777777" w:rsidTr="007A0F0B">
        <w:trPr>
          <w:trHeight w:val="288"/>
        </w:trPr>
        <w:tc>
          <w:tcPr>
            <w:tcW w:w="1560" w:type="dxa"/>
            <w:shd w:val="clear" w:color="auto" w:fill="F2F2F2"/>
            <w:vAlign w:val="center"/>
          </w:tcPr>
          <w:p w14:paraId="38389ED4" w14:textId="70C04012" w:rsidR="004F17D4" w:rsidRPr="007F7A64" w:rsidRDefault="004F17D4" w:rsidP="00E80CEF">
            <w:pPr>
              <w:spacing w:after="0"/>
              <w:rPr>
                <w:b/>
              </w:rPr>
            </w:pPr>
            <w:r>
              <w:rPr>
                <w:b/>
                <w:lang w:bidi="fr-FR"/>
              </w:rPr>
              <w:lastRenderedPageBreak/>
              <w:t xml:space="preserve">Populations </w:t>
            </w:r>
            <w:proofErr w:type="spellStart"/>
            <w:r>
              <w:rPr>
                <w:b/>
                <w:lang w:bidi="fr-FR"/>
              </w:rPr>
              <w:t>prioritaires</w:t>
            </w:r>
            <w:proofErr w:type="spellEnd"/>
          </w:p>
        </w:tc>
        <w:tc>
          <w:tcPr>
            <w:tcW w:w="9240" w:type="dxa"/>
          </w:tcPr>
          <w:p w14:paraId="6F320D9E" w14:textId="3DFB05CE" w:rsidR="004F17D4" w:rsidRPr="00390EA4" w:rsidRDefault="004F17D4" w:rsidP="004E1C7A">
            <w:pPr>
              <w:pStyle w:val="Texteformulaire"/>
              <w:rPr>
                <w:lang w:val="fr-FR"/>
              </w:rPr>
            </w:pPr>
            <w:r w:rsidRPr="00666832">
              <w:rPr>
                <w:lang w:val="fr-CI"/>
              </w:rPr>
              <w:t xml:space="preserve">Femmes enceintes/Allaitantes séropositives au VIH, Enfants Exposés (nés de mères séropositives), conjoints des Femmes Enceintes </w:t>
            </w:r>
            <w:r w:rsidR="004B4B2F">
              <w:rPr>
                <w:lang w:val="fr-CI"/>
              </w:rPr>
              <w:t>séropositives</w:t>
            </w:r>
          </w:p>
        </w:tc>
      </w:tr>
      <w:tr w:rsidR="004F17D4" w:rsidRPr="0037522B" w14:paraId="0ECA1A6E" w14:textId="77777777" w:rsidTr="007A0F0B">
        <w:trPr>
          <w:trHeight w:val="288"/>
        </w:trPr>
        <w:tc>
          <w:tcPr>
            <w:tcW w:w="1560" w:type="dxa"/>
            <w:shd w:val="clear" w:color="auto" w:fill="F2F2F2"/>
            <w:vAlign w:val="center"/>
          </w:tcPr>
          <w:p w14:paraId="5E43711B" w14:textId="1997ABF8" w:rsidR="004F17D4" w:rsidRDefault="004F17D4" w:rsidP="00E80CEF">
            <w:pPr>
              <w:spacing w:after="0"/>
              <w:rPr>
                <w:b/>
              </w:rPr>
            </w:pPr>
            <w:r>
              <w:rPr>
                <w:b/>
                <w:lang w:bidi="fr-FR"/>
              </w:rPr>
              <w:t xml:space="preserve">Obstacles et </w:t>
            </w:r>
            <w:proofErr w:type="spellStart"/>
            <w:r>
              <w:rPr>
                <w:b/>
                <w:lang w:bidi="fr-FR"/>
              </w:rPr>
              <w:t>inégalités</w:t>
            </w:r>
            <w:proofErr w:type="spellEnd"/>
          </w:p>
        </w:tc>
        <w:tc>
          <w:tcPr>
            <w:tcW w:w="9240" w:type="dxa"/>
          </w:tcPr>
          <w:p w14:paraId="5C56F38C" w14:textId="31258F91" w:rsidR="004F17D4" w:rsidRPr="00390EA4" w:rsidRDefault="004F17D4" w:rsidP="004E1C7A">
            <w:pPr>
              <w:pStyle w:val="Texteformulaire"/>
              <w:rPr>
                <w:lang w:val="fr-FR"/>
              </w:rPr>
            </w:pPr>
            <w:r w:rsidRPr="00666832">
              <w:rPr>
                <w:lang w:val="fr-CI"/>
              </w:rPr>
              <w:t xml:space="preserve">Les barrières socioculturelles d’accès à la PTME : </w:t>
            </w:r>
            <w:r w:rsidRPr="00666832">
              <w:rPr>
                <w:rFonts w:eastAsia="Arial"/>
                <w:lang w:val="fr-CA"/>
              </w:rPr>
              <w:t>Les normes sexo-spécifiques néfastes, dont l’inégalité de statut entre hommes et femmes et certaines normes de masculinité affectent l’accès aux services. Selon l’EDS-MICS 2011-2012</w:t>
            </w:r>
            <w:r w:rsidR="00806742">
              <w:rPr>
                <w:rFonts w:eastAsia="Arial"/>
                <w:lang w:val="fr-CA"/>
              </w:rPr>
              <w:t xml:space="preserve"> </w:t>
            </w:r>
            <w:r w:rsidR="0002374C" w:rsidRPr="0002374C">
              <w:rPr>
                <w:i/>
              </w:rPr>
              <w:t>(</w:t>
            </w:r>
            <w:proofErr w:type="spellStart"/>
            <w:r w:rsidR="0002374C" w:rsidRPr="0002374C">
              <w:rPr>
                <w:i/>
              </w:rPr>
              <w:t>Annexe</w:t>
            </w:r>
            <w:proofErr w:type="spellEnd"/>
            <w:r w:rsidR="0002374C" w:rsidRPr="0002374C">
              <w:rPr>
                <w:i/>
              </w:rPr>
              <w:t xml:space="preserve"> </w:t>
            </w:r>
            <w:r w:rsidR="00557984">
              <w:rPr>
                <w:i/>
              </w:rPr>
              <w:t>19</w:t>
            </w:r>
            <w:r w:rsidR="0002374C" w:rsidRPr="0002374C">
              <w:rPr>
                <w:i/>
              </w:rPr>
              <w:t>)</w:t>
            </w:r>
            <w:r w:rsidRPr="00666832">
              <w:rPr>
                <w:rFonts w:eastAsia="Arial"/>
                <w:lang w:val="fr-CA"/>
              </w:rPr>
              <w:t>, dans 64.1% des cas, c’est le conjoint qui prend les décisions concernant les soins de santé de la femme (Entraves à l’accès à la PTME pour les couples mères-enfants). Selon les données de routine 2019,</w:t>
            </w:r>
            <w:r w:rsidRPr="00666832">
              <w:rPr>
                <w:lang w:val="fr-CI"/>
              </w:rPr>
              <w:t xml:space="preserve"> seulement 34% des femmes enceintes ont été vues en CPN1 au premier trimestre de la grossesse </w:t>
            </w:r>
          </w:p>
        </w:tc>
      </w:tr>
      <w:tr w:rsidR="004F17D4" w:rsidRPr="0037522B" w14:paraId="063B4AA7" w14:textId="77777777" w:rsidTr="007A0F0B">
        <w:trPr>
          <w:trHeight w:val="288"/>
        </w:trPr>
        <w:tc>
          <w:tcPr>
            <w:tcW w:w="1560" w:type="dxa"/>
            <w:shd w:val="clear" w:color="auto" w:fill="F2F2F2"/>
            <w:vAlign w:val="center"/>
          </w:tcPr>
          <w:p w14:paraId="7A6495E5" w14:textId="77777777" w:rsidR="004F17D4" w:rsidRPr="007F7A64" w:rsidRDefault="004F17D4" w:rsidP="00E80CEF">
            <w:pPr>
              <w:spacing w:after="0"/>
              <w:rPr>
                <w:b/>
              </w:rPr>
            </w:pPr>
            <w:r>
              <w:rPr>
                <w:b/>
                <w:lang w:bidi="fr-FR"/>
              </w:rPr>
              <w:t>Justification</w:t>
            </w:r>
            <w:r>
              <w:rPr>
                <w:b/>
                <w:lang w:bidi="fr-FR"/>
              </w:rPr>
              <w:tab/>
            </w:r>
          </w:p>
        </w:tc>
        <w:tc>
          <w:tcPr>
            <w:tcW w:w="9240" w:type="dxa"/>
          </w:tcPr>
          <w:p w14:paraId="7FD76B46" w14:textId="442DD150" w:rsidR="004F17D4" w:rsidRPr="00390EA4" w:rsidRDefault="004F17D4" w:rsidP="004E1C7A">
            <w:pPr>
              <w:pStyle w:val="Texteformulaire"/>
              <w:rPr>
                <w:lang w:val="fr-FR"/>
              </w:rPr>
            </w:pPr>
            <w:r w:rsidRPr="00666832">
              <w:rPr>
                <w:lang w:val="fr-CI"/>
              </w:rPr>
              <w:t>Le taux de transmission mère enfant incluant la période d’allaitement reste élevé</w:t>
            </w:r>
            <w:r w:rsidR="004920C4">
              <w:rPr>
                <w:lang w:val="fr-CI"/>
              </w:rPr>
              <w:t xml:space="preserve"> à </w:t>
            </w:r>
            <w:r w:rsidRPr="00666832">
              <w:rPr>
                <w:b/>
                <w:lang w:val="fr-CI"/>
              </w:rPr>
              <w:t>10,9%</w:t>
            </w:r>
            <w:r w:rsidRPr="00666832">
              <w:rPr>
                <w:lang w:val="fr-CI"/>
              </w:rPr>
              <w:t xml:space="preserve"> en 2019 (Spectrum 2020</w:t>
            </w:r>
            <w:r w:rsidR="00557984">
              <w:t xml:space="preserve">, </w:t>
            </w:r>
            <w:proofErr w:type="spellStart"/>
            <w:r w:rsidR="00557984" w:rsidRPr="0002374C">
              <w:rPr>
                <w:i/>
              </w:rPr>
              <w:t>Annexe</w:t>
            </w:r>
            <w:proofErr w:type="spellEnd"/>
            <w:r w:rsidR="00557984" w:rsidRPr="0002374C">
              <w:rPr>
                <w:i/>
              </w:rPr>
              <w:t xml:space="preserve"> </w:t>
            </w:r>
            <w:r w:rsidR="00557984">
              <w:rPr>
                <w:i/>
              </w:rPr>
              <w:t>2</w:t>
            </w:r>
            <w:r w:rsidR="00557984" w:rsidRPr="0002374C">
              <w:rPr>
                <w:i/>
              </w:rPr>
              <w:t>)</w:t>
            </w:r>
            <w:r w:rsidRPr="00666832">
              <w:rPr>
                <w:lang w:val="fr-CI"/>
              </w:rPr>
              <w:t>. Ainsi,</w:t>
            </w:r>
            <w:r w:rsidR="00B744DE">
              <w:rPr>
                <w:lang w:val="fr-CI"/>
              </w:rPr>
              <w:t xml:space="preserve"> d</w:t>
            </w:r>
            <w:r w:rsidR="00B744DE" w:rsidRPr="00C41B4D">
              <w:rPr>
                <w:lang w:val="fr-CI"/>
              </w:rPr>
              <w:t>ans le but de réduire les nouvelles inf</w:t>
            </w:r>
            <w:r w:rsidR="00B744DE">
              <w:rPr>
                <w:lang w:val="fr-CI"/>
              </w:rPr>
              <w:t>ections à VIH</w:t>
            </w:r>
            <w:r w:rsidRPr="00666832">
              <w:rPr>
                <w:lang w:val="fr-CI"/>
              </w:rPr>
              <w:t xml:space="preserve"> le pays s’est engagé dans le processus de l’élimination de la transmission Mère-Enfant du VIH, avec l'appui des acteurs communautaires. </w:t>
            </w:r>
          </w:p>
        </w:tc>
      </w:tr>
      <w:tr w:rsidR="004F17D4" w:rsidRPr="0037522B" w14:paraId="1DF5D3FE" w14:textId="77777777" w:rsidTr="007A0F0B">
        <w:trPr>
          <w:trHeight w:val="288"/>
        </w:trPr>
        <w:tc>
          <w:tcPr>
            <w:tcW w:w="1560" w:type="dxa"/>
            <w:shd w:val="clear" w:color="auto" w:fill="F2F2F2"/>
            <w:vAlign w:val="center"/>
          </w:tcPr>
          <w:p w14:paraId="2BABA3A3" w14:textId="77777777" w:rsidR="004F17D4" w:rsidRPr="007F7A64" w:rsidRDefault="004F17D4" w:rsidP="00E80CEF">
            <w:pPr>
              <w:spacing w:after="0"/>
              <w:rPr>
                <w:b/>
              </w:rPr>
            </w:pPr>
            <w:proofErr w:type="spellStart"/>
            <w:r w:rsidRPr="007F7A64">
              <w:rPr>
                <w:b/>
                <w:lang w:bidi="fr-FR"/>
              </w:rPr>
              <w:t>Résultats</w:t>
            </w:r>
            <w:proofErr w:type="spellEnd"/>
            <w:r w:rsidRPr="007F7A64">
              <w:rPr>
                <w:b/>
                <w:lang w:bidi="fr-FR"/>
              </w:rPr>
              <w:t xml:space="preserve"> </w:t>
            </w:r>
            <w:proofErr w:type="spellStart"/>
            <w:r w:rsidRPr="007F7A64">
              <w:rPr>
                <w:b/>
                <w:lang w:bidi="fr-FR"/>
              </w:rPr>
              <w:t>attendus</w:t>
            </w:r>
            <w:proofErr w:type="spellEnd"/>
          </w:p>
        </w:tc>
        <w:tc>
          <w:tcPr>
            <w:tcW w:w="9240" w:type="dxa"/>
          </w:tcPr>
          <w:p w14:paraId="6A484644" w14:textId="1F45E43A" w:rsidR="004920C4" w:rsidRPr="009F1065" w:rsidRDefault="004920C4" w:rsidP="00390EA4">
            <w:pPr>
              <w:pStyle w:val="liste1"/>
            </w:pPr>
            <w:r>
              <w:t xml:space="preserve">98% des </w:t>
            </w:r>
            <w:proofErr w:type="gramStart"/>
            <w:r w:rsidRPr="00976232">
              <w:t>femmes</w:t>
            </w:r>
            <w:proofErr w:type="gramEnd"/>
            <w:r w:rsidRPr="00976232">
              <w:t xml:space="preserve"> enceintes</w:t>
            </w:r>
            <w:r>
              <w:t xml:space="preserve"> </w:t>
            </w:r>
            <w:proofErr w:type="spellStart"/>
            <w:r>
              <w:t>connaissent</w:t>
            </w:r>
            <w:proofErr w:type="spellEnd"/>
            <w:r>
              <w:t xml:space="preserve"> </w:t>
            </w:r>
            <w:proofErr w:type="spellStart"/>
            <w:r>
              <w:t>leur</w:t>
            </w:r>
            <w:proofErr w:type="spellEnd"/>
            <w:r>
              <w:t xml:space="preserve"> </w:t>
            </w:r>
            <w:proofErr w:type="spellStart"/>
            <w:r>
              <w:t>statut</w:t>
            </w:r>
            <w:proofErr w:type="spellEnd"/>
            <w:r>
              <w:t xml:space="preserve"> </w:t>
            </w:r>
            <w:proofErr w:type="spellStart"/>
            <w:r>
              <w:t>sérologique</w:t>
            </w:r>
            <w:proofErr w:type="spellEnd"/>
            <w:r>
              <w:t xml:space="preserve"> VIH</w:t>
            </w:r>
          </w:p>
          <w:p w14:paraId="65998F93" w14:textId="256752B4" w:rsidR="004F17D4" w:rsidRPr="00750CA9" w:rsidRDefault="004920C4" w:rsidP="00390EA4">
            <w:pPr>
              <w:pStyle w:val="liste1"/>
              <w:rPr>
                <w:lang w:val="fr-FR"/>
              </w:rPr>
            </w:pPr>
            <w:r>
              <w:t>90</w:t>
            </w:r>
            <w:r w:rsidR="004F17D4" w:rsidRPr="00750CA9">
              <w:rPr>
                <w:lang w:val="fr-FR"/>
              </w:rPr>
              <w:t xml:space="preserve">% des </w:t>
            </w:r>
            <w:proofErr w:type="gramStart"/>
            <w:r w:rsidR="004F17D4" w:rsidRPr="00750CA9">
              <w:rPr>
                <w:lang w:val="fr-FR"/>
              </w:rPr>
              <w:t>femmes</w:t>
            </w:r>
            <w:proofErr w:type="gramEnd"/>
            <w:r w:rsidR="004F17D4" w:rsidRPr="00750CA9">
              <w:rPr>
                <w:lang w:val="fr-FR"/>
              </w:rPr>
              <w:t xml:space="preserve"> enceintes/allaitantes séropositives sont mises sous traitement ARV</w:t>
            </w:r>
          </w:p>
          <w:p w14:paraId="72B17C2E" w14:textId="5DE3E6DA" w:rsidR="004F17D4" w:rsidRPr="00750CA9" w:rsidRDefault="004920C4">
            <w:pPr>
              <w:pStyle w:val="liste1"/>
              <w:rPr>
                <w:lang w:val="fr-FR"/>
              </w:rPr>
            </w:pPr>
            <w:r>
              <w:t>81</w:t>
            </w:r>
            <w:r w:rsidR="004F17D4" w:rsidRPr="00750CA9">
              <w:rPr>
                <w:lang w:val="fr-FR"/>
              </w:rPr>
              <w:t>% d'enfants nés de mères séropositives bénéficient d’un dépistage précoce et reçoivent le résultat selon les directives nationales</w:t>
            </w:r>
          </w:p>
        </w:tc>
      </w:tr>
      <w:tr w:rsidR="004F17D4" w:rsidRPr="007F7A64" w14:paraId="0E453BCC" w14:textId="77777777" w:rsidTr="007A0F0B">
        <w:trPr>
          <w:trHeight w:val="288"/>
        </w:trPr>
        <w:tc>
          <w:tcPr>
            <w:tcW w:w="1560" w:type="dxa"/>
            <w:shd w:val="clear" w:color="auto" w:fill="F2F2F2"/>
            <w:vAlign w:val="center"/>
          </w:tcPr>
          <w:p w14:paraId="7AD284AC" w14:textId="77777777" w:rsidR="004F17D4" w:rsidRPr="00C44844" w:rsidRDefault="004F17D4" w:rsidP="00E80CEF">
            <w:pPr>
              <w:spacing w:after="0"/>
              <w:rPr>
                <w:b/>
              </w:rPr>
            </w:pPr>
            <w:proofErr w:type="spellStart"/>
            <w:r w:rsidRPr="007F7A64">
              <w:rPr>
                <w:b/>
                <w:lang w:bidi="fr-FR"/>
              </w:rPr>
              <w:t>Investissement</w:t>
            </w:r>
            <w:proofErr w:type="spellEnd"/>
            <w:r w:rsidRPr="007F7A64">
              <w:rPr>
                <w:b/>
                <w:lang w:bidi="fr-FR"/>
              </w:rPr>
              <w:t xml:space="preserve"> </w:t>
            </w:r>
            <w:proofErr w:type="spellStart"/>
            <w:r w:rsidRPr="007F7A64">
              <w:rPr>
                <w:b/>
                <w:lang w:bidi="fr-FR"/>
              </w:rPr>
              <w:t>attendu</w:t>
            </w:r>
            <w:proofErr w:type="spellEnd"/>
          </w:p>
        </w:tc>
        <w:tc>
          <w:tcPr>
            <w:tcW w:w="9240" w:type="dxa"/>
          </w:tcPr>
          <w:p w14:paraId="7938ACAC" w14:textId="751CA074" w:rsidR="004F17D4" w:rsidRPr="00DB293F" w:rsidRDefault="0044115C" w:rsidP="00DB293F">
            <w:pPr>
              <w:pStyle w:val="Texteformulaire"/>
              <w:rPr>
                <w:rFonts w:eastAsia="Times New Roman"/>
                <w:b/>
                <w:bCs/>
              </w:rPr>
            </w:pPr>
            <w:r w:rsidRPr="002D0EC2">
              <w:rPr>
                <w:b/>
                <w:bCs/>
                <w:color w:val="FF0000"/>
              </w:rPr>
              <w:t>1</w:t>
            </w:r>
            <w:r w:rsidR="00EF66DC" w:rsidRPr="002D0EC2">
              <w:rPr>
                <w:b/>
                <w:bCs/>
                <w:color w:val="FF0000"/>
              </w:rPr>
              <w:t xml:space="preserve"> </w:t>
            </w:r>
            <w:r w:rsidRPr="002D0EC2">
              <w:rPr>
                <w:b/>
                <w:bCs/>
                <w:color w:val="FF0000"/>
              </w:rPr>
              <w:t>726</w:t>
            </w:r>
            <w:r w:rsidR="00DB293F" w:rsidRPr="002D0EC2">
              <w:rPr>
                <w:b/>
                <w:bCs/>
                <w:color w:val="FF0000"/>
              </w:rPr>
              <w:t> </w:t>
            </w:r>
            <w:r w:rsidRPr="002D0EC2">
              <w:rPr>
                <w:b/>
                <w:bCs/>
                <w:color w:val="FF0000"/>
              </w:rPr>
              <w:t>082</w:t>
            </w:r>
            <w:r w:rsidR="00DB293F" w:rsidRPr="002D0EC2">
              <w:rPr>
                <w:b/>
                <w:bCs/>
                <w:color w:val="FF0000"/>
              </w:rPr>
              <w:t xml:space="preserve"> euros</w:t>
            </w:r>
            <w:r w:rsidR="00EF66DC" w:rsidRPr="002D0EC2">
              <w:rPr>
                <w:b/>
                <w:bCs/>
                <w:color w:val="FF0000"/>
              </w:rPr>
              <w:t xml:space="preserve"> (</w:t>
            </w:r>
            <w:proofErr w:type="spellStart"/>
            <w:r w:rsidR="00DB293F" w:rsidRPr="002D0EC2">
              <w:rPr>
                <w:b/>
                <w:bCs/>
                <w:color w:val="FF0000"/>
              </w:rPr>
              <w:t>soit</w:t>
            </w:r>
            <w:proofErr w:type="spellEnd"/>
            <w:r w:rsidR="00DB293F" w:rsidRPr="002D0EC2">
              <w:rPr>
                <w:b/>
                <w:bCs/>
                <w:color w:val="FF0000"/>
              </w:rPr>
              <w:t xml:space="preserve"> </w:t>
            </w:r>
            <w:r w:rsidRPr="002D0EC2">
              <w:rPr>
                <w:b/>
                <w:bCs/>
                <w:color w:val="FF0000"/>
              </w:rPr>
              <w:t>2</w:t>
            </w:r>
            <w:r w:rsidR="00DB293F" w:rsidRPr="002D0EC2">
              <w:rPr>
                <w:b/>
                <w:bCs/>
                <w:color w:val="FF0000"/>
              </w:rPr>
              <w:t>%)</w:t>
            </w:r>
          </w:p>
        </w:tc>
      </w:tr>
    </w:tbl>
    <w:p w14:paraId="245E61C5" w14:textId="0A076A7F" w:rsidR="00E97A2E" w:rsidRDefault="00E97A2E" w:rsidP="009B6C0D">
      <w:pPr>
        <w:spacing w:after="0"/>
      </w:pPr>
    </w:p>
    <w:p w14:paraId="598D35E5" w14:textId="77777777" w:rsidR="005755EA" w:rsidRDefault="005755EA" w:rsidP="009B6C0D">
      <w:pPr>
        <w:spacing w:after="0"/>
      </w:pPr>
    </w:p>
    <w:tbl>
      <w:tblPr>
        <w:tblStyle w:val="TableGrid30"/>
        <w:tblW w:w="10800" w:type="dxa"/>
        <w:tblInd w:w="-5" w:type="dxa"/>
        <w:tblLook w:val="04A0" w:firstRow="1" w:lastRow="0" w:firstColumn="1" w:lastColumn="0" w:noHBand="0" w:noVBand="1"/>
      </w:tblPr>
      <w:tblGrid>
        <w:gridCol w:w="1662"/>
        <w:gridCol w:w="9138"/>
      </w:tblGrid>
      <w:tr w:rsidR="00E97A2E" w:rsidRPr="00390EA4" w14:paraId="4F049665" w14:textId="77777777" w:rsidTr="00390EA4">
        <w:trPr>
          <w:trHeight w:val="608"/>
        </w:trPr>
        <w:tc>
          <w:tcPr>
            <w:tcW w:w="1560" w:type="dxa"/>
            <w:shd w:val="clear" w:color="auto" w:fill="F2F2F2"/>
            <w:vAlign w:val="center"/>
          </w:tcPr>
          <w:p w14:paraId="4926C034" w14:textId="77777777" w:rsidR="00E97A2E" w:rsidRPr="00390EA4" w:rsidRDefault="00E97A2E">
            <w:pPr>
              <w:spacing w:after="0"/>
              <w:rPr>
                <w:b/>
                <w:sz w:val="22"/>
                <w:szCs w:val="22"/>
              </w:rPr>
            </w:pPr>
            <w:proofErr w:type="gramStart"/>
            <w:r w:rsidRPr="00390EA4">
              <w:rPr>
                <w:b/>
                <w:sz w:val="22"/>
                <w:szCs w:val="22"/>
                <w:lang w:bidi="fr-FR"/>
              </w:rPr>
              <w:lastRenderedPageBreak/>
              <w:t>N</w:t>
            </w:r>
            <w:r w:rsidRPr="00390EA4">
              <w:rPr>
                <w:b/>
                <w:sz w:val="22"/>
                <w:szCs w:val="22"/>
                <w:vertAlign w:val="superscript"/>
                <w:lang w:bidi="fr-FR"/>
              </w:rPr>
              <w:t>o</w:t>
            </w:r>
            <w:proofErr w:type="gramEnd"/>
            <w:r w:rsidRPr="00390EA4">
              <w:rPr>
                <w:b/>
                <w:sz w:val="22"/>
                <w:szCs w:val="22"/>
                <w:lang w:bidi="fr-FR"/>
              </w:rPr>
              <w:t xml:space="preserve"> de module</w:t>
            </w:r>
          </w:p>
        </w:tc>
        <w:tc>
          <w:tcPr>
            <w:tcW w:w="9240" w:type="dxa"/>
            <w:vAlign w:val="center"/>
          </w:tcPr>
          <w:p w14:paraId="6EA87104" w14:textId="754CE256" w:rsidR="00E97A2E" w:rsidRPr="00390EA4" w:rsidRDefault="00D15EE6" w:rsidP="00390EA4">
            <w:pPr>
              <w:spacing w:after="0"/>
              <w:rPr>
                <w:b/>
                <w:sz w:val="22"/>
                <w:szCs w:val="22"/>
              </w:rPr>
            </w:pPr>
            <w:bookmarkStart w:id="17" w:name="_Hlk40769094"/>
            <w:r w:rsidRPr="00750CA9">
              <w:rPr>
                <w:b/>
                <w:sz w:val="22"/>
                <w:lang w:val="fr-FR"/>
              </w:rPr>
              <w:t xml:space="preserve">Module </w:t>
            </w:r>
            <w:proofErr w:type="gramStart"/>
            <w:r w:rsidRPr="00750CA9">
              <w:rPr>
                <w:b/>
                <w:sz w:val="22"/>
                <w:lang w:val="fr-FR"/>
              </w:rPr>
              <w:t>3:</w:t>
            </w:r>
            <w:proofErr w:type="gramEnd"/>
            <w:r w:rsidRPr="00750CA9">
              <w:rPr>
                <w:b/>
                <w:sz w:val="22"/>
                <w:lang w:val="fr-FR"/>
              </w:rPr>
              <w:t xml:space="preserve"> Services de dépistage différenciés du VIH</w:t>
            </w:r>
            <w:bookmarkEnd w:id="17"/>
          </w:p>
        </w:tc>
      </w:tr>
      <w:tr w:rsidR="00E97A2E" w:rsidRPr="0037522B" w14:paraId="50CC94D0" w14:textId="77777777" w:rsidTr="007A0F0B">
        <w:trPr>
          <w:trHeight w:val="288"/>
        </w:trPr>
        <w:tc>
          <w:tcPr>
            <w:tcW w:w="1560" w:type="dxa"/>
            <w:shd w:val="clear" w:color="auto" w:fill="F2F2F2"/>
            <w:vAlign w:val="center"/>
          </w:tcPr>
          <w:p w14:paraId="7E0A88EA" w14:textId="77777777" w:rsidR="00E97A2E" w:rsidRPr="007F7A64" w:rsidRDefault="00E97A2E" w:rsidP="00E80CEF">
            <w:pPr>
              <w:spacing w:after="0"/>
              <w:rPr>
                <w:b/>
              </w:rPr>
            </w:pPr>
            <w:proofErr w:type="spellStart"/>
            <w:r w:rsidRPr="007F7A64">
              <w:rPr>
                <w:b/>
                <w:lang w:bidi="fr-FR"/>
              </w:rPr>
              <w:t>Principales</w:t>
            </w:r>
            <w:proofErr w:type="spellEnd"/>
            <w:r w:rsidRPr="007F7A64">
              <w:rPr>
                <w:b/>
                <w:lang w:bidi="fr-FR"/>
              </w:rPr>
              <w:t xml:space="preserve"> interventions et </w:t>
            </w:r>
            <w:proofErr w:type="spellStart"/>
            <w:r w:rsidRPr="007F7A64">
              <w:rPr>
                <w:b/>
                <w:lang w:bidi="fr-FR"/>
              </w:rPr>
              <w:t>activités</w:t>
            </w:r>
            <w:proofErr w:type="spellEnd"/>
          </w:p>
        </w:tc>
        <w:tc>
          <w:tcPr>
            <w:tcW w:w="9240" w:type="dxa"/>
          </w:tcPr>
          <w:p w14:paraId="4D36653C" w14:textId="20877731" w:rsidR="00772524" w:rsidRPr="00390EA4" w:rsidRDefault="00772524" w:rsidP="006F6940">
            <w:pPr>
              <w:pStyle w:val="NormalJBGS"/>
              <w:numPr>
                <w:ilvl w:val="0"/>
                <w:numId w:val="31"/>
              </w:numPr>
              <w:jc w:val="both"/>
              <w:rPr>
                <w:b/>
                <w:i w:val="0"/>
                <w:color w:val="auto"/>
                <w:sz w:val="22"/>
                <w:lang w:val="fr-FR"/>
              </w:rPr>
            </w:pPr>
            <w:r w:rsidRPr="00390EA4">
              <w:rPr>
                <w:b/>
                <w:i w:val="0"/>
                <w:color w:val="auto"/>
                <w:sz w:val="22"/>
                <w:lang w:val="fr-FR"/>
              </w:rPr>
              <w:t xml:space="preserve">Dépistage </w:t>
            </w:r>
            <w:r w:rsidR="00CB0E4A">
              <w:rPr>
                <w:b/>
                <w:i w:val="0"/>
                <w:color w:val="auto"/>
                <w:sz w:val="22"/>
                <w:lang w:val="fr-FR"/>
              </w:rPr>
              <w:t>en</w:t>
            </w:r>
            <w:r w:rsidRPr="00390EA4">
              <w:rPr>
                <w:b/>
                <w:i w:val="0"/>
                <w:color w:val="auto"/>
                <w:sz w:val="22"/>
                <w:lang w:val="fr-FR"/>
              </w:rPr>
              <w:t xml:space="preserve"> centres de santé </w:t>
            </w:r>
          </w:p>
          <w:p w14:paraId="6CEF1380" w14:textId="07F45963" w:rsidR="00CB0E4A" w:rsidRDefault="00772524" w:rsidP="004E1C7A">
            <w:pPr>
              <w:pStyle w:val="Texteformulaire"/>
              <w:rPr>
                <w:lang w:val="fr-FR"/>
              </w:rPr>
            </w:pPr>
            <w:r w:rsidRPr="00390EA4">
              <w:rPr>
                <w:lang w:val="fr-FR"/>
              </w:rPr>
              <w:t>Le CDIP sera optimisé dans les centres de santé</w:t>
            </w:r>
            <w:r w:rsidR="00CB0E4A">
              <w:rPr>
                <w:lang w:val="fr-FR"/>
              </w:rPr>
              <w:t xml:space="preserve">, </w:t>
            </w:r>
            <w:r w:rsidR="00CB0E4A" w:rsidRPr="00CB0E4A">
              <w:rPr>
                <w:lang w:val="fr-FR"/>
              </w:rPr>
              <w:t>y compris les centres de santé des MAC</w:t>
            </w:r>
            <w:r w:rsidR="00CB0E4A">
              <w:rPr>
                <w:lang w:val="fr-FR"/>
              </w:rPr>
              <w:t xml:space="preserve">, </w:t>
            </w:r>
            <w:r w:rsidRPr="00390EA4">
              <w:rPr>
                <w:lang w:val="fr-FR"/>
              </w:rPr>
              <w:t xml:space="preserve">pour accroître son </w:t>
            </w:r>
            <w:r w:rsidR="00766C4E" w:rsidRPr="00390EA4">
              <w:rPr>
                <w:lang w:val="fr-FR"/>
              </w:rPr>
              <w:t>rendement à</w:t>
            </w:r>
            <w:r w:rsidRPr="00390EA4">
              <w:rPr>
                <w:lang w:val="fr-FR"/>
              </w:rPr>
              <w:t xml:space="preserve"> travers une orientation ciblée vers les populations </w:t>
            </w:r>
            <w:r w:rsidR="00CB0E4A">
              <w:rPr>
                <w:lang w:val="fr-FR"/>
              </w:rPr>
              <w:t xml:space="preserve">clés et </w:t>
            </w:r>
            <w:r w:rsidRPr="00390EA4">
              <w:rPr>
                <w:lang w:val="fr-FR"/>
              </w:rPr>
              <w:t xml:space="preserve">vulnérables. </w:t>
            </w:r>
          </w:p>
          <w:p w14:paraId="7B1234E9" w14:textId="159EC6C2" w:rsidR="00CB0E4A" w:rsidRDefault="00CB0E4A" w:rsidP="004E1C7A">
            <w:pPr>
              <w:pStyle w:val="Texteformulaire"/>
              <w:rPr>
                <w:lang w:val="fr-FR"/>
              </w:rPr>
            </w:pPr>
            <w:r>
              <w:rPr>
                <w:lang w:val="fr-FR"/>
              </w:rPr>
              <w:t>L</w:t>
            </w:r>
            <w:r w:rsidR="00772524" w:rsidRPr="00390EA4">
              <w:rPr>
                <w:lang w:val="fr-FR"/>
              </w:rPr>
              <w:t>es activités principal</w:t>
            </w:r>
            <w:r>
              <w:rPr>
                <w:lang w:val="fr-FR"/>
              </w:rPr>
              <w:t>e</w:t>
            </w:r>
            <w:r w:rsidR="00772524" w:rsidRPr="00390EA4">
              <w:rPr>
                <w:lang w:val="fr-FR"/>
              </w:rPr>
              <w:t>s suivantes</w:t>
            </w:r>
            <w:r>
              <w:rPr>
                <w:lang w:val="fr-FR"/>
              </w:rPr>
              <w:t xml:space="preserve"> sont prévues </w:t>
            </w:r>
            <w:r w:rsidR="00772524" w:rsidRPr="00390EA4">
              <w:rPr>
                <w:lang w:val="fr-FR"/>
              </w:rPr>
              <w:t xml:space="preserve">: </w:t>
            </w:r>
          </w:p>
          <w:p w14:paraId="77C93816" w14:textId="0E4D23DA" w:rsidR="00CB0E4A" w:rsidRDefault="00CB0E4A" w:rsidP="00390EA4">
            <w:pPr>
              <w:pStyle w:val="liste1"/>
            </w:pPr>
            <w:proofErr w:type="spellStart"/>
            <w:r>
              <w:t>R</w:t>
            </w:r>
            <w:r w:rsidR="00772524" w:rsidRPr="00390EA4">
              <w:t>enforcement</w:t>
            </w:r>
            <w:proofErr w:type="spellEnd"/>
            <w:r w:rsidR="00772524" w:rsidRPr="00390EA4">
              <w:t xml:space="preserve"> des </w:t>
            </w:r>
            <w:proofErr w:type="spellStart"/>
            <w:r w:rsidR="00772524" w:rsidRPr="00390EA4">
              <w:t>capacités</w:t>
            </w:r>
            <w:proofErr w:type="spellEnd"/>
            <w:r w:rsidR="00772524" w:rsidRPr="00390EA4">
              <w:t xml:space="preserve"> des </w:t>
            </w:r>
            <w:proofErr w:type="spellStart"/>
            <w:r w:rsidR="00772524" w:rsidRPr="00390EA4">
              <w:t>prestataires</w:t>
            </w:r>
            <w:proofErr w:type="spellEnd"/>
            <w:r w:rsidR="00772524" w:rsidRPr="00390EA4">
              <w:t xml:space="preserve"> de santé sur </w:t>
            </w:r>
            <w:proofErr w:type="spellStart"/>
            <w:r w:rsidR="00772524" w:rsidRPr="00843F38">
              <w:t>toutes</w:t>
            </w:r>
            <w:proofErr w:type="spellEnd"/>
            <w:r w:rsidR="00772524" w:rsidRPr="00843F38">
              <w:t xml:space="preserve"> les </w:t>
            </w:r>
            <w:proofErr w:type="spellStart"/>
            <w:r w:rsidR="00772524" w:rsidRPr="00843F38">
              <w:t>approches</w:t>
            </w:r>
            <w:proofErr w:type="spellEnd"/>
            <w:r w:rsidR="00772524" w:rsidRPr="00843F38">
              <w:t xml:space="preserve"> </w:t>
            </w:r>
            <w:proofErr w:type="spellStart"/>
            <w:r w:rsidR="00772524" w:rsidRPr="00843F38">
              <w:t>différenciées</w:t>
            </w:r>
            <w:proofErr w:type="spellEnd"/>
            <w:r w:rsidR="00772524" w:rsidRPr="00843F38">
              <w:t xml:space="preserve"> du </w:t>
            </w:r>
            <w:proofErr w:type="spellStart"/>
            <w:r>
              <w:t>d</w:t>
            </w:r>
            <w:r w:rsidR="00772524" w:rsidRPr="00843F38">
              <w:t>épistage</w:t>
            </w:r>
            <w:proofErr w:type="spellEnd"/>
            <w:r w:rsidR="00772524" w:rsidRPr="00843F38">
              <w:t xml:space="preserve"> VIH (CDIP, index-testing, </w:t>
            </w:r>
            <w:proofErr w:type="spellStart"/>
            <w:r w:rsidR="00772524" w:rsidRPr="00843F38">
              <w:t>autodépistage</w:t>
            </w:r>
            <w:proofErr w:type="spellEnd"/>
            <w:r w:rsidR="00772524" w:rsidRPr="00843F38">
              <w:t>)</w:t>
            </w:r>
          </w:p>
          <w:p w14:paraId="23F61042" w14:textId="40652BDA" w:rsidR="00CB0E4A" w:rsidRDefault="00CB0E4A" w:rsidP="00390EA4">
            <w:pPr>
              <w:pStyle w:val="liste1"/>
            </w:pPr>
            <w:proofErr w:type="spellStart"/>
            <w:r>
              <w:t>I</w:t>
            </w:r>
            <w:r w:rsidR="00772524" w:rsidRPr="00390EA4">
              <w:t>nt</w:t>
            </w:r>
            <w:r>
              <w:t>é</w:t>
            </w:r>
            <w:r w:rsidR="00772524" w:rsidRPr="00390EA4">
              <w:t>gration</w:t>
            </w:r>
            <w:proofErr w:type="spellEnd"/>
            <w:r w:rsidR="00772524" w:rsidRPr="00390EA4">
              <w:t xml:space="preserve"> d</w:t>
            </w:r>
            <w:r w:rsidR="00772524" w:rsidRPr="00843F38">
              <w:t xml:space="preserve">es </w:t>
            </w:r>
            <w:proofErr w:type="spellStart"/>
            <w:r w:rsidR="00772524" w:rsidRPr="00843F38">
              <w:t>approches</w:t>
            </w:r>
            <w:proofErr w:type="spellEnd"/>
            <w:r w:rsidR="00772524" w:rsidRPr="00843F38">
              <w:t xml:space="preserve"> </w:t>
            </w:r>
            <w:proofErr w:type="spellStart"/>
            <w:r w:rsidR="00772524" w:rsidRPr="00843F38">
              <w:t>différenciées</w:t>
            </w:r>
            <w:proofErr w:type="spellEnd"/>
            <w:r w:rsidR="00772524" w:rsidRPr="00390EA4">
              <w:t xml:space="preserve"> de </w:t>
            </w:r>
            <w:proofErr w:type="spellStart"/>
            <w:r>
              <w:t>d</w:t>
            </w:r>
            <w:r w:rsidR="00772524" w:rsidRPr="00390EA4">
              <w:t>épistage</w:t>
            </w:r>
            <w:proofErr w:type="spellEnd"/>
            <w:r w:rsidR="00772524" w:rsidRPr="00390EA4">
              <w:t xml:space="preserve"> dans les structures de santé </w:t>
            </w:r>
            <w:proofErr w:type="spellStart"/>
            <w:r w:rsidR="00772524" w:rsidRPr="00390EA4">
              <w:t>privées</w:t>
            </w:r>
            <w:proofErr w:type="spellEnd"/>
            <w:r w:rsidR="00772524" w:rsidRPr="00390EA4">
              <w:t xml:space="preserve"> </w:t>
            </w:r>
            <w:r w:rsidR="009A4BDD">
              <w:t xml:space="preserve">(50 </w:t>
            </w:r>
            <w:r w:rsidR="00A735CA">
              <w:t xml:space="preserve">sur les 3 </w:t>
            </w:r>
            <w:proofErr w:type="spellStart"/>
            <w:r w:rsidR="00A735CA">
              <w:t>années</w:t>
            </w:r>
            <w:proofErr w:type="spellEnd"/>
            <w:r w:rsidR="00A735CA">
              <w:t xml:space="preserve">, </w:t>
            </w:r>
            <w:proofErr w:type="spellStart"/>
            <w:r w:rsidR="00A735CA">
              <w:t>en</w:t>
            </w:r>
            <w:proofErr w:type="spellEnd"/>
            <w:r w:rsidR="00A735CA">
              <w:t xml:space="preserve"> sus des 50 structures du </w:t>
            </w:r>
            <w:proofErr w:type="spellStart"/>
            <w:r w:rsidR="00A735CA">
              <w:t>projet</w:t>
            </w:r>
            <w:proofErr w:type="spellEnd"/>
            <w:r w:rsidR="00A735CA">
              <w:t xml:space="preserve"> PSHP</w:t>
            </w:r>
            <w:r w:rsidR="009A4BDD">
              <w:t xml:space="preserve">) </w:t>
            </w:r>
            <w:r w:rsidR="00772524" w:rsidRPr="00390EA4">
              <w:t xml:space="preserve">pour toucher les populations à </w:t>
            </w:r>
            <w:proofErr w:type="spellStart"/>
            <w:r w:rsidR="00772524" w:rsidRPr="00390EA4">
              <w:t>risque</w:t>
            </w:r>
            <w:proofErr w:type="spellEnd"/>
            <w:r w:rsidR="00772524" w:rsidRPr="00390EA4">
              <w:t xml:space="preserve"> ne </w:t>
            </w:r>
            <w:proofErr w:type="spellStart"/>
            <w:r w:rsidR="00772524" w:rsidRPr="00390EA4">
              <w:t>fréquentant</w:t>
            </w:r>
            <w:proofErr w:type="spellEnd"/>
            <w:r w:rsidR="00772524" w:rsidRPr="00390EA4">
              <w:t xml:space="preserve"> pas les structures de santé </w:t>
            </w:r>
            <w:proofErr w:type="spellStart"/>
            <w:r w:rsidR="00772524" w:rsidRPr="00390EA4">
              <w:t>publiques</w:t>
            </w:r>
            <w:proofErr w:type="spellEnd"/>
            <w:r>
              <w:t xml:space="preserve">, </w:t>
            </w:r>
            <w:proofErr w:type="spellStart"/>
            <w:r>
              <w:t>notamment</w:t>
            </w:r>
            <w:proofErr w:type="spellEnd"/>
            <w:r w:rsidR="00772524" w:rsidRPr="00390EA4">
              <w:t xml:space="preserve"> les hommes de plus de 25 </w:t>
            </w:r>
            <w:proofErr w:type="spellStart"/>
            <w:r w:rsidR="00772524" w:rsidRPr="00390EA4">
              <w:t>ans</w:t>
            </w:r>
            <w:proofErr w:type="spellEnd"/>
          </w:p>
          <w:p w14:paraId="7FB7AB63" w14:textId="0EF0FC8F" w:rsidR="00CB0E4A" w:rsidRDefault="00772524" w:rsidP="00390EA4">
            <w:pPr>
              <w:pStyle w:val="liste1"/>
            </w:pPr>
            <w:proofErr w:type="spellStart"/>
            <w:r w:rsidRPr="00390EA4">
              <w:t>Actualisation</w:t>
            </w:r>
            <w:proofErr w:type="spellEnd"/>
            <w:r w:rsidRPr="00390EA4">
              <w:t xml:space="preserve"> et mise à disposition des aide-</w:t>
            </w:r>
            <w:proofErr w:type="spellStart"/>
            <w:r w:rsidRPr="00390EA4">
              <w:t>mémoires</w:t>
            </w:r>
            <w:proofErr w:type="spellEnd"/>
            <w:r w:rsidRPr="00390EA4">
              <w:t xml:space="preserve"> pour </w:t>
            </w:r>
            <w:proofErr w:type="spellStart"/>
            <w:r w:rsidRPr="00390EA4">
              <w:t>faciliter</w:t>
            </w:r>
            <w:proofErr w:type="spellEnd"/>
            <w:r w:rsidRPr="00390EA4">
              <w:t xml:space="preserve"> </w:t>
            </w:r>
            <w:proofErr w:type="spellStart"/>
            <w:r w:rsidRPr="00390EA4">
              <w:t>l’identification</w:t>
            </w:r>
            <w:proofErr w:type="spellEnd"/>
            <w:r w:rsidRPr="00390EA4">
              <w:t xml:space="preserve"> des populations à </w:t>
            </w:r>
            <w:proofErr w:type="spellStart"/>
            <w:r w:rsidRPr="00390EA4">
              <w:t>risque</w:t>
            </w:r>
            <w:proofErr w:type="spellEnd"/>
            <w:r w:rsidRPr="00390EA4">
              <w:t xml:space="preserve"> </w:t>
            </w:r>
            <w:proofErr w:type="spellStart"/>
            <w:r w:rsidRPr="00390EA4">
              <w:t>en</w:t>
            </w:r>
            <w:proofErr w:type="spellEnd"/>
            <w:r w:rsidRPr="00390EA4">
              <w:t xml:space="preserve"> </w:t>
            </w:r>
            <w:proofErr w:type="spellStart"/>
            <w:r w:rsidRPr="00390EA4">
              <w:t>vue</w:t>
            </w:r>
            <w:proofErr w:type="spellEnd"/>
            <w:r w:rsidRPr="00390EA4">
              <w:t xml:space="preserve"> du </w:t>
            </w:r>
            <w:proofErr w:type="spellStart"/>
            <w:r w:rsidRPr="00390EA4">
              <w:t>dépistage</w:t>
            </w:r>
            <w:proofErr w:type="spellEnd"/>
          </w:p>
          <w:p w14:paraId="55E8769C" w14:textId="340C3958" w:rsidR="00CB0E4A" w:rsidRDefault="00CB0E4A" w:rsidP="00390EA4">
            <w:pPr>
              <w:pStyle w:val="liste1"/>
            </w:pPr>
            <w:r>
              <w:t>I</w:t>
            </w:r>
            <w:r w:rsidR="00772524" w:rsidRPr="00843F38">
              <w:t>ntensification d</w:t>
            </w:r>
            <w:r w:rsidR="00825679">
              <w:t>u</w:t>
            </w:r>
            <w:r w:rsidR="00772524" w:rsidRPr="00843F38">
              <w:t xml:space="preserve"> </w:t>
            </w:r>
            <w:proofErr w:type="spellStart"/>
            <w:r w:rsidR="00825679">
              <w:t>dépistage</w:t>
            </w:r>
            <w:proofErr w:type="spellEnd"/>
            <w:r w:rsidR="00825679" w:rsidRPr="00002654">
              <w:t xml:space="preserve"> des enfants </w:t>
            </w:r>
            <w:r w:rsidR="00825679">
              <w:t>vivant avec</w:t>
            </w:r>
            <w:r w:rsidR="00825679" w:rsidRPr="00002654">
              <w:t xml:space="preserve"> le VIH</w:t>
            </w:r>
            <w:r w:rsidR="00825679">
              <w:t> par</w:t>
            </w:r>
            <w:r w:rsidR="00825679" w:rsidRPr="00843F38">
              <w:t xml:space="preserve"> </w:t>
            </w:r>
            <w:proofErr w:type="spellStart"/>
            <w:r w:rsidR="00772524" w:rsidRPr="00843F38">
              <w:t>l’approche</w:t>
            </w:r>
            <w:proofErr w:type="spellEnd"/>
            <w:r w:rsidR="00772524" w:rsidRPr="00843F38">
              <w:t xml:space="preserve"> </w:t>
            </w:r>
            <w:proofErr w:type="spellStart"/>
            <w:r w:rsidR="00772524" w:rsidRPr="00843F38">
              <w:t>famille</w:t>
            </w:r>
            <w:proofErr w:type="spellEnd"/>
            <w:r w:rsidR="00772524" w:rsidRPr="00843F38">
              <w:t xml:space="preserve"> / index-testing et le </w:t>
            </w:r>
            <w:proofErr w:type="spellStart"/>
            <w:r w:rsidR="00772524" w:rsidRPr="00843F38">
              <w:t>dépistage</w:t>
            </w:r>
            <w:proofErr w:type="spellEnd"/>
            <w:r w:rsidR="00772524" w:rsidRPr="00843F38">
              <w:t xml:space="preserve"> aux </w:t>
            </w:r>
            <w:proofErr w:type="spellStart"/>
            <w:r w:rsidR="00772524" w:rsidRPr="00843F38">
              <w:t>différentes</w:t>
            </w:r>
            <w:proofErr w:type="spellEnd"/>
            <w:r w:rsidR="00772524" w:rsidRPr="00843F38">
              <w:t xml:space="preserve"> </w:t>
            </w:r>
            <w:proofErr w:type="spellStart"/>
            <w:r w:rsidR="00772524" w:rsidRPr="00843F38">
              <w:t>portes</w:t>
            </w:r>
            <w:proofErr w:type="spellEnd"/>
            <w:r w:rsidR="00772524" w:rsidRPr="00843F38">
              <w:t xml:space="preserve"> </w:t>
            </w:r>
            <w:proofErr w:type="spellStart"/>
            <w:r w:rsidR="00772524" w:rsidRPr="00843F38">
              <w:t>d'entrée</w:t>
            </w:r>
            <w:proofErr w:type="spellEnd"/>
            <w:r w:rsidR="00772524" w:rsidRPr="00843F38">
              <w:t xml:space="preserve"> </w:t>
            </w:r>
            <w:proofErr w:type="spellStart"/>
            <w:r w:rsidR="00772524" w:rsidRPr="00843F38">
              <w:t>pédiatriques</w:t>
            </w:r>
            <w:proofErr w:type="spellEnd"/>
            <w:r w:rsidR="00772524" w:rsidRPr="00843F38">
              <w:t xml:space="preserve"> du </w:t>
            </w:r>
            <w:proofErr w:type="spellStart"/>
            <w:r w:rsidR="00772524" w:rsidRPr="00843F38">
              <w:t>système</w:t>
            </w:r>
            <w:proofErr w:type="spellEnd"/>
            <w:r w:rsidR="00772524" w:rsidRPr="00843F38">
              <w:t xml:space="preserve"> de santé </w:t>
            </w:r>
            <w:r w:rsidR="00825679">
              <w:t>(</w:t>
            </w:r>
            <w:r w:rsidR="00772524" w:rsidRPr="00843F38">
              <w:t xml:space="preserve">avec </w:t>
            </w:r>
            <w:proofErr w:type="spellStart"/>
            <w:r w:rsidR="00772524" w:rsidRPr="00843F38">
              <w:t>l’appui</w:t>
            </w:r>
            <w:proofErr w:type="spellEnd"/>
            <w:r w:rsidR="00772524" w:rsidRPr="00843F38">
              <w:t xml:space="preserve"> des </w:t>
            </w:r>
            <w:proofErr w:type="spellStart"/>
            <w:r w:rsidR="00772524" w:rsidRPr="00843F38">
              <w:t>conseillers</w:t>
            </w:r>
            <w:proofErr w:type="spellEnd"/>
            <w:r w:rsidR="00772524" w:rsidRPr="00843F38">
              <w:t xml:space="preserve"> </w:t>
            </w:r>
            <w:proofErr w:type="spellStart"/>
            <w:r w:rsidR="00772524" w:rsidRPr="00843F38">
              <w:t>communautaires</w:t>
            </w:r>
            <w:proofErr w:type="spellEnd"/>
            <w:r w:rsidR="00772524" w:rsidRPr="00843F38">
              <w:t xml:space="preserve"> </w:t>
            </w:r>
            <w:proofErr w:type="spellStart"/>
            <w:r w:rsidR="00772524" w:rsidRPr="00843F38">
              <w:t>intégrés</w:t>
            </w:r>
            <w:proofErr w:type="spellEnd"/>
            <w:r w:rsidR="00772524" w:rsidRPr="00843F38">
              <w:t xml:space="preserve"> dans les </w:t>
            </w:r>
            <w:proofErr w:type="spellStart"/>
            <w:r w:rsidR="00772524" w:rsidRPr="00843F38">
              <w:t>centres</w:t>
            </w:r>
            <w:proofErr w:type="spellEnd"/>
            <w:r w:rsidR="00772524" w:rsidRPr="00843F38">
              <w:t xml:space="preserve"> de sant</w:t>
            </w:r>
            <w:r>
              <w:t>é</w:t>
            </w:r>
            <w:r w:rsidR="00825679">
              <w:t>)</w:t>
            </w:r>
          </w:p>
          <w:p w14:paraId="2122032C" w14:textId="39A813C3" w:rsidR="00CB0E4A" w:rsidRDefault="00825679" w:rsidP="00390EA4">
            <w:pPr>
              <w:pStyle w:val="liste1"/>
            </w:pPr>
            <w:proofErr w:type="spellStart"/>
            <w:r>
              <w:t>R</w:t>
            </w:r>
            <w:r w:rsidR="00772524" w:rsidRPr="00390EA4">
              <w:t>enforcement</w:t>
            </w:r>
            <w:proofErr w:type="spellEnd"/>
            <w:r w:rsidR="00772524" w:rsidRPr="00390EA4">
              <w:t xml:space="preserve"> du </w:t>
            </w:r>
            <w:proofErr w:type="spellStart"/>
            <w:r w:rsidR="00772524" w:rsidRPr="00390EA4">
              <w:t>dépistage</w:t>
            </w:r>
            <w:proofErr w:type="spellEnd"/>
            <w:r w:rsidR="00772524" w:rsidRPr="00390EA4">
              <w:t xml:space="preserve"> des </w:t>
            </w:r>
            <w:proofErr w:type="spellStart"/>
            <w:r w:rsidR="00772524" w:rsidRPr="00390EA4">
              <w:t>conjoints</w:t>
            </w:r>
            <w:proofErr w:type="spellEnd"/>
            <w:r w:rsidR="00772524" w:rsidRPr="00390EA4">
              <w:t xml:space="preserve"> des </w:t>
            </w:r>
            <w:proofErr w:type="gramStart"/>
            <w:r w:rsidR="00772524" w:rsidRPr="00390EA4">
              <w:t>femmes</w:t>
            </w:r>
            <w:proofErr w:type="gramEnd"/>
            <w:r w:rsidR="00772524" w:rsidRPr="00390EA4">
              <w:t xml:space="preserve"> enceintes/</w:t>
            </w:r>
            <w:proofErr w:type="spellStart"/>
            <w:r w:rsidR="00772524" w:rsidRPr="00390EA4">
              <w:t>allaitantes</w:t>
            </w:r>
            <w:proofErr w:type="spellEnd"/>
            <w:r w:rsidR="00772524" w:rsidRPr="00390EA4">
              <w:t xml:space="preserve"> par la mise à </w:t>
            </w:r>
            <w:proofErr w:type="spellStart"/>
            <w:r w:rsidR="00772524" w:rsidRPr="00390EA4">
              <w:t>échelle</w:t>
            </w:r>
            <w:proofErr w:type="spellEnd"/>
            <w:r w:rsidR="00772524" w:rsidRPr="00390EA4">
              <w:t xml:space="preserve"> des </w:t>
            </w:r>
            <w:proofErr w:type="spellStart"/>
            <w:r w:rsidR="00772524" w:rsidRPr="00390EA4">
              <w:t>approches</w:t>
            </w:r>
            <w:proofErr w:type="spellEnd"/>
            <w:r w:rsidR="00772524" w:rsidRPr="00390EA4">
              <w:t xml:space="preserve"> </w:t>
            </w:r>
            <w:proofErr w:type="spellStart"/>
            <w:r w:rsidR="00772524" w:rsidRPr="00390EA4">
              <w:t>innovantes</w:t>
            </w:r>
            <w:proofErr w:type="spellEnd"/>
            <w:r w:rsidR="00772524" w:rsidRPr="00390EA4">
              <w:t xml:space="preserve"> </w:t>
            </w:r>
            <w:proofErr w:type="spellStart"/>
            <w:r w:rsidR="00772524" w:rsidRPr="00390EA4">
              <w:t>visant</w:t>
            </w:r>
            <w:proofErr w:type="spellEnd"/>
            <w:r w:rsidR="00772524" w:rsidRPr="00390EA4">
              <w:t xml:space="preserve"> </w:t>
            </w:r>
            <w:proofErr w:type="spellStart"/>
            <w:r w:rsidR="00772524" w:rsidRPr="00390EA4">
              <w:t>leur</w:t>
            </w:r>
            <w:proofErr w:type="spellEnd"/>
            <w:r w:rsidR="00772524" w:rsidRPr="00390EA4">
              <w:t xml:space="preserve"> implication dans l</w:t>
            </w:r>
            <w:r>
              <w:t>a</w:t>
            </w:r>
            <w:r w:rsidR="00772524" w:rsidRPr="00390EA4">
              <w:t xml:space="preserve"> SMNI</w:t>
            </w:r>
            <w:r>
              <w:t xml:space="preserve">, </w:t>
            </w:r>
            <w:proofErr w:type="spellStart"/>
            <w:r>
              <w:t>en</w:t>
            </w:r>
            <w:proofErr w:type="spellEnd"/>
            <w:r>
              <w:t xml:space="preserve"> lien avec les </w:t>
            </w:r>
            <w:proofErr w:type="spellStart"/>
            <w:r>
              <w:t>activités</w:t>
            </w:r>
            <w:proofErr w:type="spellEnd"/>
            <w:r>
              <w:t xml:space="preserve"> de la PTM</w:t>
            </w:r>
            <w:r w:rsidR="00A63E6B">
              <w:t>E</w:t>
            </w:r>
            <w:r w:rsidR="00772524" w:rsidRPr="00390EA4">
              <w:t xml:space="preserve"> </w:t>
            </w:r>
          </w:p>
          <w:p w14:paraId="3AD68677" w14:textId="5C70AD66" w:rsidR="00772524" w:rsidRDefault="00772524" w:rsidP="00390EA4">
            <w:pPr>
              <w:pStyle w:val="liste1"/>
            </w:pPr>
            <w:proofErr w:type="spellStart"/>
            <w:r w:rsidRPr="00390EA4">
              <w:t>Conduite</w:t>
            </w:r>
            <w:proofErr w:type="spellEnd"/>
            <w:r w:rsidRPr="00390EA4">
              <w:t xml:space="preserve"> </w:t>
            </w:r>
            <w:proofErr w:type="spellStart"/>
            <w:r w:rsidRPr="00390EA4">
              <w:t>d'évaluation</w:t>
            </w:r>
            <w:proofErr w:type="spellEnd"/>
            <w:r w:rsidRPr="00390EA4">
              <w:t xml:space="preserve"> </w:t>
            </w:r>
            <w:proofErr w:type="spellStart"/>
            <w:r w:rsidRPr="00390EA4">
              <w:t>externe</w:t>
            </w:r>
            <w:proofErr w:type="spellEnd"/>
            <w:r w:rsidRPr="00390EA4">
              <w:t xml:space="preserve"> de la </w:t>
            </w:r>
            <w:proofErr w:type="spellStart"/>
            <w:r w:rsidRPr="00390EA4">
              <w:t>qualité</w:t>
            </w:r>
            <w:proofErr w:type="spellEnd"/>
            <w:r w:rsidRPr="00390EA4">
              <w:t xml:space="preserve"> de la </w:t>
            </w:r>
            <w:proofErr w:type="spellStart"/>
            <w:r w:rsidRPr="00390EA4">
              <w:t>sérologie</w:t>
            </w:r>
            <w:proofErr w:type="spellEnd"/>
            <w:r w:rsidRPr="00390EA4">
              <w:t xml:space="preserve"> VIH au </w:t>
            </w:r>
            <w:proofErr w:type="spellStart"/>
            <w:r w:rsidRPr="00390EA4">
              <w:t>niveau</w:t>
            </w:r>
            <w:proofErr w:type="spellEnd"/>
            <w:r w:rsidRPr="00390EA4">
              <w:t xml:space="preserve"> des </w:t>
            </w:r>
            <w:proofErr w:type="spellStart"/>
            <w:r w:rsidRPr="00390EA4">
              <w:t>laboratoires</w:t>
            </w:r>
            <w:proofErr w:type="spellEnd"/>
            <w:r w:rsidRPr="00390EA4">
              <w:t xml:space="preserve"> et </w:t>
            </w:r>
            <w:proofErr w:type="spellStart"/>
            <w:r w:rsidRPr="00390EA4">
              <w:t>postes</w:t>
            </w:r>
            <w:proofErr w:type="spellEnd"/>
            <w:r w:rsidRPr="00390EA4">
              <w:t xml:space="preserve"> de </w:t>
            </w:r>
            <w:proofErr w:type="spellStart"/>
            <w:r w:rsidRPr="00390EA4">
              <w:t>dépistage</w:t>
            </w:r>
            <w:proofErr w:type="spellEnd"/>
            <w:r w:rsidRPr="00390EA4">
              <w:t xml:space="preserve"> des </w:t>
            </w:r>
            <w:proofErr w:type="spellStart"/>
            <w:r w:rsidRPr="00390EA4">
              <w:t>centres</w:t>
            </w:r>
            <w:proofErr w:type="spellEnd"/>
            <w:r w:rsidRPr="00390EA4">
              <w:t xml:space="preserve"> de santé</w:t>
            </w:r>
            <w:r w:rsidR="00825679">
              <w:t>,</w:t>
            </w:r>
            <w:r w:rsidRPr="00390EA4">
              <w:t xml:space="preserve"> pour </w:t>
            </w:r>
            <w:proofErr w:type="spellStart"/>
            <w:r w:rsidRPr="00390EA4">
              <w:t>s’assurer</w:t>
            </w:r>
            <w:proofErr w:type="spellEnd"/>
            <w:r w:rsidRPr="00390EA4">
              <w:t xml:space="preserve"> de la </w:t>
            </w:r>
            <w:proofErr w:type="spellStart"/>
            <w:r w:rsidRPr="00390EA4">
              <w:t>qualité</w:t>
            </w:r>
            <w:proofErr w:type="spellEnd"/>
            <w:r w:rsidRPr="00390EA4">
              <w:t xml:space="preserve"> des </w:t>
            </w:r>
            <w:proofErr w:type="spellStart"/>
            <w:r w:rsidRPr="00390EA4">
              <w:t>résultats</w:t>
            </w:r>
            <w:proofErr w:type="spellEnd"/>
            <w:r w:rsidRPr="00390EA4">
              <w:t xml:space="preserve"> des tests du </w:t>
            </w:r>
            <w:proofErr w:type="spellStart"/>
            <w:r w:rsidRPr="00390EA4">
              <w:t>dépistage</w:t>
            </w:r>
            <w:proofErr w:type="spellEnd"/>
            <w:r w:rsidRPr="00390EA4">
              <w:t xml:space="preserve"> </w:t>
            </w:r>
            <w:proofErr w:type="spellStart"/>
            <w:r w:rsidRPr="00390EA4">
              <w:t>rendus</w:t>
            </w:r>
            <w:proofErr w:type="spellEnd"/>
            <w:r w:rsidRPr="00390EA4">
              <w:t xml:space="preserve"> aux clients</w:t>
            </w:r>
            <w:r w:rsidR="00CB0E4A">
              <w:t>.</w:t>
            </w:r>
            <w:r w:rsidRPr="00390EA4">
              <w:t xml:space="preserve"> </w:t>
            </w:r>
          </w:p>
          <w:p w14:paraId="71645302" w14:textId="77777777" w:rsidR="00CB0E4A" w:rsidRPr="00750CA9" w:rsidRDefault="00CB0E4A" w:rsidP="00390EA4">
            <w:pPr>
              <w:rPr>
                <w:lang w:val="fr-FR"/>
              </w:rPr>
            </w:pPr>
          </w:p>
          <w:p w14:paraId="0DC92D07" w14:textId="77777777" w:rsidR="00772524" w:rsidRPr="00A778A7" w:rsidRDefault="00772524" w:rsidP="006F6940">
            <w:pPr>
              <w:pStyle w:val="NormalJBGS"/>
              <w:numPr>
                <w:ilvl w:val="0"/>
                <w:numId w:val="31"/>
              </w:numPr>
              <w:jc w:val="both"/>
              <w:rPr>
                <w:b/>
                <w:i w:val="0"/>
                <w:color w:val="auto"/>
                <w:sz w:val="22"/>
                <w:szCs w:val="22"/>
              </w:rPr>
            </w:pPr>
            <w:proofErr w:type="spellStart"/>
            <w:r w:rsidRPr="00A778A7">
              <w:rPr>
                <w:b/>
                <w:i w:val="0"/>
                <w:color w:val="auto"/>
                <w:sz w:val="22"/>
                <w:szCs w:val="22"/>
              </w:rPr>
              <w:t>Dépistage</w:t>
            </w:r>
            <w:proofErr w:type="spellEnd"/>
            <w:r w:rsidRPr="00A778A7">
              <w:rPr>
                <w:b/>
                <w:i w:val="0"/>
                <w:color w:val="auto"/>
                <w:sz w:val="22"/>
                <w:szCs w:val="22"/>
              </w:rPr>
              <w:t xml:space="preserve"> </w:t>
            </w:r>
            <w:proofErr w:type="spellStart"/>
            <w:r w:rsidRPr="00A778A7">
              <w:rPr>
                <w:b/>
                <w:i w:val="0"/>
                <w:color w:val="auto"/>
                <w:sz w:val="22"/>
                <w:szCs w:val="22"/>
              </w:rPr>
              <w:t>communautaire</w:t>
            </w:r>
            <w:proofErr w:type="spellEnd"/>
          </w:p>
          <w:p w14:paraId="1EBB078E" w14:textId="10FEC050" w:rsidR="00825679" w:rsidRDefault="00825679" w:rsidP="004E1C7A">
            <w:pPr>
              <w:pStyle w:val="Texteformulaire"/>
              <w:rPr>
                <w:lang w:val="fr-FR"/>
              </w:rPr>
            </w:pPr>
            <w:r>
              <w:rPr>
                <w:lang w:val="fr-FR"/>
              </w:rPr>
              <w:t>T</w:t>
            </w:r>
            <w:r w:rsidR="00772524" w:rsidRPr="00390EA4">
              <w:rPr>
                <w:lang w:val="fr-FR"/>
              </w:rPr>
              <w:t xml:space="preserve">outes les approches de dépistage communautaire seront intensifiées avec un accent </w:t>
            </w:r>
            <w:r w:rsidR="00FC50C2" w:rsidRPr="00750CA9">
              <w:rPr>
                <w:lang w:val="fr-FR"/>
              </w:rPr>
              <w:t xml:space="preserve">particulier </w:t>
            </w:r>
            <w:r w:rsidR="00772524" w:rsidRPr="00390EA4">
              <w:rPr>
                <w:lang w:val="fr-FR"/>
              </w:rPr>
              <w:t xml:space="preserve">dans les districts prioritaires et orientées sur les populations </w:t>
            </w:r>
            <w:r>
              <w:rPr>
                <w:lang w:val="fr-FR"/>
              </w:rPr>
              <w:t>clés et hautement vulnérables</w:t>
            </w:r>
            <w:r w:rsidR="00772524" w:rsidRPr="00390EA4">
              <w:rPr>
                <w:lang w:val="fr-FR"/>
              </w:rPr>
              <w:t xml:space="preserve">. </w:t>
            </w:r>
          </w:p>
          <w:p w14:paraId="782C176F" w14:textId="66748263" w:rsidR="00825679" w:rsidRDefault="00772524" w:rsidP="004E1C7A">
            <w:pPr>
              <w:pStyle w:val="Texteformulaire"/>
              <w:rPr>
                <w:lang w:val="fr-FR"/>
              </w:rPr>
            </w:pPr>
            <w:r w:rsidRPr="00390EA4">
              <w:rPr>
                <w:lang w:val="fr-FR"/>
              </w:rPr>
              <w:t>Il s’agira de</w:t>
            </w:r>
            <w:r w:rsidR="00825679">
              <w:rPr>
                <w:lang w:val="fr-FR"/>
              </w:rPr>
              <w:t xml:space="preserve"> </w:t>
            </w:r>
            <w:r w:rsidRPr="00390EA4">
              <w:rPr>
                <w:lang w:val="fr-FR"/>
              </w:rPr>
              <w:t xml:space="preserve">: </w:t>
            </w:r>
          </w:p>
          <w:p w14:paraId="6F176C35" w14:textId="218240C6" w:rsidR="00825679" w:rsidRDefault="00772524" w:rsidP="00390EA4">
            <w:pPr>
              <w:pStyle w:val="liste1"/>
            </w:pPr>
            <w:proofErr w:type="spellStart"/>
            <w:r w:rsidRPr="00390EA4">
              <w:t>Renforcement</w:t>
            </w:r>
            <w:proofErr w:type="spellEnd"/>
            <w:r w:rsidRPr="00390EA4">
              <w:t xml:space="preserve"> de la promotion du </w:t>
            </w:r>
            <w:proofErr w:type="spellStart"/>
            <w:r w:rsidRPr="00390EA4">
              <w:t>dépistage</w:t>
            </w:r>
            <w:proofErr w:type="spellEnd"/>
            <w:r w:rsidR="00825679">
              <w:t>,</w:t>
            </w:r>
            <w:r w:rsidRPr="00390EA4">
              <w:t xml:space="preserve"> y </w:t>
            </w:r>
            <w:proofErr w:type="spellStart"/>
            <w:r w:rsidRPr="00390EA4">
              <w:t>compris</w:t>
            </w:r>
            <w:proofErr w:type="spellEnd"/>
            <w:r w:rsidRPr="00390EA4">
              <w:t xml:space="preserve"> </w:t>
            </w:r>
            <w:proofErr w:type="spellStart"/>
            <w:r w:rsidRPr="00390EA4">
              <w:t>l'autotest</w:t>
            </w:r>
            <w:proofErr w:type="spellEnd"/>
            <w:r w:rsidR="00825679">
              <w:t>,</w:t>
            </w:r>
            <w:r w:rsidRPr="00390EA4">
              <w:t xml:space="preserve"> </w:t>
            </w:r>
            <w:proofErr w:type="spellStart"/>
            <w:r w:rsidRPr="00390EA4">
              <w:t>auprès</w:t>
            </w:r>
            <w:proofErr w:type="spellEnd"/>
            <w:r w:rsidRPr="00390EA4">
              <w:t xml:space="preserve"> des populations </w:t>
            </w:r>
            <w:proofErr w:type="spellStart"/>
            <w:r w:rsidRPr="00390EA4">
              <w:t>clés</w:t>
            </w:r>
            <w:proofErr w:type="spellEnd"/>
            <w:r w:rsidRPr="00390EA4">
              <w:t xml:space="preserve"> par les pairs</w:t>
            </w:r>
            <w:r w:rsidR="00825679">
              <w:t>-</w:t>
            </w:r>
            <w:proofErr w:type="spellStart"/>
            <w:r w:rsidRPr="00390EA4">
              <w:t>éducateurs</w:t>
            </w:r>
            <w:proofErr w:type="spellEnd"/>
            <w:r w:rsidRPr="00390EA4">
              <w:t xml:space="preserve"> (</w:t>
            </w:r>
            <w:r w:rsidR="00825679">
              <w:t>PE</w:t>
            </w:r>
            <w:r w:rsidRPr="00390EA4">
              <w:t xml:space="preserve">), les </w:t>
            </w:r>
            <w:proofErr w:type="spellStart"/>
            <w:r w:rsidRPr="00390EA4">
              <w:t>conseillers</w:t>
            </w:r>
            <w:proofErr w:type="spellEnd"/>
            <w:r w:rsidRPr="00390EA4">
              <w:t xml:space="preserve"> </w:t>
            </w:r>
            <w:proofErr w:type="spellStart"/>
            <w:r w:rsidRPr="00390EA4">
              <w:t>communautaires</w:t>
            </w:r>
            <w:proofErr w:type="spellEnd"/>
            <w:r w:rsidRPr="00390EA4">
              <w:t xml:space="preserve"> et via les </w:t>
            </w:r>
            <w:proofErr w:type="gramStart"/>
            <w:r w:rsidRPr="00390EA4">
              <w:t>TIC</w:t>
            </w:r>
            <w:r w:rsidR="00825679">
              <w:t xml:space="preserve"> </w:t>
            </w:r>
            <w:r w:rsidRPr="00390EA4">
              <w:t>;</w:t>
            </w:r>
            <w:proofErr w:type="gramEnd"/>
            <w:r w:rsidRPr="00390EA4">
              <w:t xml:space="preserve"> </w:t>
            </w:r>
          </w:p>
          <w:p w14:paraId="0ED4EABC" w14:textId="5EB9176E" w:rsidR="00825679" w:rsidRDefault="00772524" w:rsidP="00390EA4">
            <w:pPr>
              <w:pStyle w:val="liste1"/>
            </w:pPr>
            <w:proofErr w:type="spellStart"/>
            <w:r w:rsidRPr="00390EA4">
              <w:t>Organisation</w:t>
            </w:r>
            <w:proofErr w:type="spellEnd"/>
            <w:r w:rsidRPr="00390EA4">
              <w:t xml:space="preserve"> </w:t>
            </w:r>
            <w:proofErr w:type="spellStart"/>
            <w:r w:rsidRPr="00390EA4">
              <w:t>d’activités</w:t>
            </w:r>
            <w:proofErr w:type="spellEnd"/>
            <w:r w:rsidRPr="00390EA4">
              <w:t xml:space="preserve"> de </w:t>
            </w:r>
            <w:proofErr w:type="spellStart"/>
            <w:r w:rsidRPr="00390EA4">
              <w:t>sensibilisation</w:t>
            </w:r>
            <w:proofErr w:type="spellEnd"/>
            <w:r w:rsidRPr="00390EA4">
              <w:t xml:space="preserve"> et </w:t>
            </w:r>
            <w:proofErr w:type="spellStart"/>
            <w:r w:rsidRPr="00390EA4">
              <w:t>d’offre</w:t>
            </w:r>
            <w:proofErr w:type="spellEnd"/>
            <w:r w:rsidRPr="00390EA4">
              <w:t xml:space="preserve"> de service de santé de </w:t>
            </w:r>
            <w:proofErr w:type="spellStart"/>
            <w:r w:rsidRPr="00390EA4">
              <w:t>proximité</w:t>
            </w:r>
            <w:proofErr w:type="spellEnd"/>
            <w:r w:rsidRPr="00390EA4">
              <w:t xml:space="preserve"> </w:t>
            </w:r>
            <w:proofErr w:type="spellStart"/>
            <w:r w:rsidR="00825679">
              <w:t>intégrant</w:t>
            </w:r>
            <w:proofErr w:type="spellEnd"/>
            <w:r w:rsidR="00825679">
              <w:t xml:space="preserve"> le </w:t>
            </w:r>
            <w:proofErr w:type="spellStart"/>
            <w:r w:rsidRPr="00390EA4">
              <w:t>dépistage</w:t>
            </w:r>
            <w:proofErr w:type="spellEnd"/>
            <w:r w:rsidRPr="00390EA4">
              <w:t xml:space="preserve"> </w:t>
            </w:r>
            <w:proofErr w:type="spellStart"/>
            <w:r w:rsidR="00825679">
              <w:t>ciblant</w:t>
            </w:r>
            <w:proofErr w:type="spellEnd"/>
            <w:r w:rsidR="00825679">
              <w:t xml:space="preserve"> l</w:t>
            </w:r>
            <w:r w:rsidR="00015F71" w:rsidRPr="00390EA4">
              <w:t>es TS</w:t>
            </w:r>
            <w:r w:rsidR="00825679">
              <w:t xml:space="preserve"> : </w:t>
            </w:r>
            <w:proofErr w:type="spellStart"/>
            <w:r w:rsidRPr="00390EA4">
              <w:t>dépistage</w:t>
            </w:r>
            <w:proofErr w:type="spellEnd"/>
            <w:r w:rsidRPr="00390EA4">
              <w:t xml:space="preserve"> </w:t>
            </w:r>
            <w:proofErr w:type="spellStart"/>
            <w:r w:rsidRPr="00390EA4">
              <w:t>intégré</w:t>
            </w:r>
            <w:proofErr w:type="spellEnd"/>
            <w:r w:rsidRPr="00390EA4">
              <w:t xml:space="preserve"> aux </w:t>
            </w:r>
            <w:proofErr w:type="spellStart"/>
            <w:r w:rsidRPr="00390EA4">
              <w:t>activités</w:t>
            </w:r>
            <w:proofErr w:type="spellEnd"/>
            <w:r w:rsidRPr="00390EA4">
              <w:t xml:space="preserve"> de pair-</w:t>
            </w:r>
            <w:proofErr w:type="spellStart"/>
            <w:r w:rsidRPr="00390EA4">
              <w:t>éducation</w:t>
            </w:r>
            <w:proofErr w:type="spellEnd"/>
            <w:r w:rsidRPr="00390EA4">
              <w:t>, rapprochement de</w:t>
            </w:r>
            <w:r w:rsidR="00825679">
              <w:t xml:space="preserve"> </w:t>
            </w:r>
            <w:proofErr w:type="spellStart"/>
            <w:r w:rsidR="00825679">
              <w:t>l’offre</w:t>
            </w:r>
            <w:proofErr w:type="spellEnd"/>
            <w:r w:rsidR="00825679">
              <w:t xml:space="preserve"> de</w:t>
            </w:r>
            <w:r w:rsidRPr="00390EA4">
              <w:t xml:space="preserve"> services à travers les </w:t>
            </w:r>
            <w:proofErr w:type="spellStart"/>
            <w:r w:rsidR="00015F71" w:rsidRPr="00390EA4">
              <w:t>cliniques</w:t>
            </w:r>
            <w:proofErr w:type="spellEnd"/>
            <w:r w:rsidR="00015F71" w:rsidRPr="00390EA4">
              <w:t xml:space="preserve"> de </w:t>
            </w:r>
            <w:proofErr w:type="spellStart"/>
            <w:r w:rsidR="00015F71" w:rsidRPr="00390EA4">
              <w:t>nuit</w:t>
            </w:r>
            <w:proofErr w:type="spellEnd"/>
            <w:r w:rsidR="00015F71" w:rsidRPr="00390EA4">
              <w:t xml:space="preserve"> sur les</w:t>
            </w:r>
            <w:r w:rsidRPr="00390EA4">
              <w:t xml:space="preserve"> sites </w:t>
            </w:r>
            <w:r w:rsidR="00E633E4">
              <w:t xml:space="preserve">de travail du </w:t>
            </w:r>
            <w:proofErr w:type="spellStart"/>
            <w:r w:rsidR="00E633E4">
              <w:t>sexe</w:t>
            </w:r>
            <w:proofErr w:type="spellEnd"/>
            <w:r w:rsidR="00E633E4">
              <w:t>,</w:t>
            </w:r>
            <w:r w:rsidRPr="00390EA4">
              <w:t xml:space="preserve"> </w:t>
            </w:r>
            <w:proofErr w:type="spellStart"/>
            <w:r w:rsidRPr="00390EA4">
              <w:t>activités</w:t>
            </w:r>
            <w:proofErr w:type="spellEnd"/>
            <w:r w:rsidRPr="00390EA4">
              <w:t xml:space="preserve"> de </w:t>
            </w:r>
            <w:proofErr w:type="spellStart"/>
            <w:r w:rsidRPr="00390EA4">
              <w:t>renforcement</w:t>
            </w:r>
            <w:proofErr w:type="spellEnd"/>
            <w:r w:rsidRPr="00390EA4">
              <w:t xml:space="preserve"> des </w:t>
            </w:r>
            <w:proofErr w:type="spellStart"/>
            <w:r w:rsidRPr="00390EA4">
              <w:t>comp</w:t>
            </w:r>
            <w:r w:rsidR="00E633E4">
              <w:t>é</w:t>
            </w:r>
            <w:r w:rsidRPr="00390EA4">
              <w:t>tence</w:t>
            </w:r>
            <w:r w:rsidR="00E633E4">
              <w:t>s</w:t>
            </w:r>
            <w:proofErr w:type="spellEnd"/>
            <w:r w:rsidRPr="00390EA4">
              <w:t xml:space="preserve"> de vie (école des TS)</w:t>
            </w:r>
            <w:r w:rsidR="00E633E4">
              <w:t xml:space="preserve"> </w:t>
            </w:r>
            <w:r w:rsidRPr="00390EA4">
              <w:t xml:space="preserve">; </w:t>
            </w:r>
          </w:p>
          <w:p w14:paraId="28270C68" w14:textId="11AE8827" w:rsidR="00E633E4" w:rsidRDefault="00772524" w:rsidP="00390EA4">
            <w:pPr>
              <w:pStyle w:val="liste1"/>
            </w:pPr>
            <w:proofErr w:type="spellStart"/>
            <w:r w:rsidRPr="00390EA4">
              <w:t>Mobilisation</w:t>
            </w:r>
            <w:proofErr w:type="spellEnd"/>
            <w:r w:rsidRPr="00390EA4">
              <w:t xml:space="preserve"> des HSH par les</w:t>
            </w:r>
            <w:r w:rsidR="00E633E4">
              <w:t xml:space="preserve"> PE</w:t>
            </w:r>
            <w:r w:rsidRPr="00390EA4">
              <w:t xml:space="preserve"> </w:t>
            </w:r>
            <w:r w:rsidR="00E633E4">
              <w:t xml:space="preserve">à travers </w:t>
            </w:r>
            <w:r w:rsidR="00766C4E" w:rsidRPr="00390EA4">
              <w:t>des</w:t>
            </w:r>
            <w:r w:rsidRPr="00390EA4">
              <w:t xml:space="preserve"> </w:t>
            </w:r>
            <w:proofErr w:type="spellStart"/>
            <w:r w:rsidRPr="00390EA4">
              <w:t>journées</w:t>
            </w:r>
            <w:proofErr w:type="spellEnd"/>
            <w:r w:rsidRPr="00390EA4">
              <w:t xml:space="preserve"> </w:t>
            </w:r>
            <w:r w:rsidR="00E633E4">
              <w:t>à</w:t>
            </w:r>
            <w:r w:rsidRPr="00390EA4">
              <w:t xml:space="preserve"> </w:t>
            </w:r>
            <w:proofErr w:type="spellStart"/>
            <w:r w:rsidRPr="00390EA4">
              <w:t>thèmes</w:t>
            </w:r>
            <w:proofErr w:type="spellEnd"/>
            <w:r w:rsidR="00E633E4">
              <w:t>,</w:t>
            </w:r>
            <w:r w:rsidRPr="00390EA4">
              <w:t xml:space="preserve"> </w:t>
            </w:r>
            <w:proofErr w:type="spellStart"/>
            <w:r w:rsidRPr="00390EA4">
              <w:t>év</w:t>
            </w:r>
            <w:r w:rsidR="00E633E4">
              <w:t>è</w:t>
            </w:r>
            <w:r w:rsidRPr="00390EA4">
              <w:t>nements</w:t>
            </w:r>
            <w:proofErr w:type="spellEnd"/>
            <w:r w:rsidRPr="00390EA4">
              <w:t xml:space="preserve"> </w:t>
            </w:r>
            <w:proofErr w:type="spellStart"/>
            <w:r w:rsidRPr="00390EA4">
              <w:t>attractifs</w:t>
            </w:r>
            <w:proofErr w:type="spellEnd"/>
            <w:r w:rsidRPr="00390EA4">
              <w:t xml:space="preserve"> pour les HSH</w:t>
            </w:r>
            <w:r w:rsidR="00E633E4">
              <w:t xml:space="preserve">, </w:t>
            </w:r>
            <w:proofErr w:type="spellStart"/>
            <w:r w:rsidRPr="00390EA4">
              <w:t>couplé</w:t>
            </w:r>
            <w:r w:rsidR="00E633E4">
              <w:t>e</w:t>
            </w:r>
            <w:proofErr w:type="spellEnd"/>
            <w:r w:rsidRPr="00390EA4">
              <w:t xml:space="preserve"> au </w:t>
            </w:r>
            <w:proofErr w:type="spellStart"/>
            <w:r w:rsidRPr="00390EA4">
              <w:t>dépistage</w:t>
            </w:r>
            <w:proofErr w:type="spellEnd"/>
            <w:r w:rsidRPr="00390EA4">
              <w:t xml:space="preserve"> et à la </w:t>
            </w:r>
            <w:r w:rsidR="00E633E4">
              <w:t>dispensation</w:t>
            </w:r>
            <w:r w:rsidR="00E633E4" w:rsidRPr="00390EA4">
              <w:t xml:space="preserve"> </w:t>
            </w:r>
            <w:proofErr w:type="spellStart"/>
            <w:proofErr w:type="gramStart"/>
            <w:r w:rsidRPr="00390EA4">
              <w:t>d</w:t>
            </w:r>
            <w:r w:rsidR="00E633E4">
              <w:t>’</w:t>
            </w:r>
            <w:r w:rsidRPr="00390EA4">
              <w:t>autotest</w:t>
            </w:r>
            <w:r w:rsidR="00E633E4">
              <w:t>s</w:t>
            </w:r>
            <w:proofErr w:type="spellEnd"/>
            <w:r w:rsidR="00E633E4">
              <w:t> ;</w:t>
            </w:r>
            <w:proofErr w:type="gramEnd"/>
            <w:r w:rsidR="00E633E4">
              <w:t xml:space="preserve"> </w:t>
            </w:r>
            <w:proofErr w:type="spellStart"/>
            <w:r w:rsidRPr="00390EA4">
              <w:t>organis</w:t>
            </w:r>
            <w:r w:rsidR="00E633E4">
              <w:t>ation</w:t>
            </w:r>
            <w:proofErr w:type="spellEnd"/>
            <w:r w:rsidRPr="00390EA4">
              <w:t xml:space="preserve"> de consultations </w:t>
            </w:r>
            <w:proofErr w:type="spellStart"/>
            <w:r w:rsidRPr="00390EA4">
              <w:t>multimaladies</w:t>
            </w:r>
            <w:proofErr w:type="spellEnd"/>
            <w:r w:rsidRPr="00390EA4">
              <w:t xml:space="preserve"> dans les </w:t>
            </w:r>
            <w:r w:rsidR="00766C4E" w:rsidRPr="00390EA4">
              <w:t>Drop In Center</w:t>
            </w:r>
            <w:r w:rsidR="00E633E4">
              <w:t xml:space="preserve"> (DIC)</w:t>
            </w:r>
            <w:r w:rsidR="00766C4E" w:rsidRPr="00390EA4">
              <w:t xml:space="preserve"> des </w:t>
            </w:r>
            <w:r w:rsidRPr="00390EA4">
              <w:t xml:space="preserve">HSH avec dispensation </w:t>
            </w:r>
            <w:proofErr w:type="spellStart"/>
            <w:r w:rsidRPr="00390EA4">
              <w:t>d’autotests</w:t>
            </w:r>
            <w:proofErr w:type="spellEnd"/>
            <w:r w:rsidR="00E633E4">
              <w:t xml:space="preserve"> </w:t>
            </w:r>
            <w:r w:rsidRPr="00390EA4">
              <w:t>;</w:t>
            </w:r>
          </w:p>
          <w:p w14:paraId="58D4C9E0" w14:textId="1DCCF295" w:rsidR="00E633E4" w:rsidRPr="00390EA4" w:rsidRDefault="00772524" w:rsidP="00390EA4">
            <w:pPr>
              <w:pStyle w:val="liste1"/>
            </w:pPr>
            <w:proofErr w:type="spellStart"/>
            <w:r w:rsidRPr="00390EA4">
              <w:t>Organisation</w:t>
            </w:r>
            <w:proofErr w:type="spellEnd"/>
            <w:r w:rsidRPr="00390EA4">
              <w:t xml:space="preserve"> de </w:t>
            </w:r>
            <w:proofErr w:type="spellStart"/>
            <w:r w:rsidRPr="00390EA4">
              <w:t>stratégies</w:t>
            </w:r>
            <w:proofErr w:type="spellEnd"/>
            <w:r w:rsidRPr="00390EA4">
              <w:t xml:space="preserve"> </w:t>
            </w:r>
            <w:proofErr w:type="spellStart"/>
            <w:r w:rsidRPr="00390EA4">
              <w:t>avancées</w:t>
            </w:r>
            <w:proofErr w:type="spellEnd"/>
            <w:r w:rsidRPr="00390EA4">
              <w:t xml:space="preserve"> </w:t>
            </w:r>
            <w:proofErr w:type="spellStart"/>
            <w:r w:rsidRPr="00390EA4">
              <w:t>d'offre</w:t>
            </w:r>
            <w:proofErr w:type="spellEnd"/>
            <w:r w:rsidRPr="00390EA4">
              <w:t xml:space="preserve"> de service de </w:t>
            </w:r>
            <w:proofErr w:type="spellStart"/>
            <w:r w:rsidRPr="00390EA4">
              <w:t>réduction</w:t>
            </w:r>
            <w:proofErr w:type="spellEnd"/>
            <w:r w:rsidRPr="00390EA4">
              <w:t xml:space="preserve"> des </w:t>
            </w:r>
            <w:proofErr w:type="spellStart"/>
            <w:r w:rsidRPr="00390EA4">
              <w:t>risques</w:t>
            </w:r>
            <w:proofErr w:type="spellEnd"/>
            <w:r w:rsidRPr="00390EA4">
              <w:t xml:space="preserve"> chez les UD/UDI</w:t>
            </w:r>
            <w:r w:rsidR="00E633E4" w:rsidRPr="00390EA4">
              <w:t xml:space="preserve">, </w:t>
            </w:r>
            <w:proofErr w:type="spellStart"/>
            <w:r w:rsidRPr="00390EA4">
              <w:t>couplées</w:t>
            </w:r>
            <w:proofErr w:type="spellEnd"/>
            <w:r w:rsidRPr="00390EA4">
              <w:t xml:space="preserve"> </w:t>
            </w:r>
            <w:r w:rsidR="00E633E4" w:rsidRPr="00390EA4">
              <w:t xml:space="preserve">à </w:t>
            </w:r>
            <w:proofErr w:type="spellStart"/>
            <w:r w:rsidR="00E633E4" w:rsidRPr="00390EA4">
              <w:t>l’offre</w:t>
            </w:r>
            <w:proofErr w:type="spellEnd"/>
            <w:r w:rsidR="00E633E4" w:rsidRPr="00390EA4">
              <w:t xml:space="preserve"> de</w:t>
            </w:r>
            <w:r w:rsidRPr="00390EA4">
              <w:t xml:space="preserve"> </w:t>
            </w:r>
            <w:proofErr w:type="spellStart"/>
            <w:r w:rsidRPr="00390EA4">
              <w:t>dépistage</w:t>
            </w:r>
            <w:proofErr w:type="spellEnd"/>
            <w:r w:rsidR="00E633E4" w:rsidRPr="00390EA4">
              <w:t xml:space="preserve"> ; </w:t>
            </w:r>
            <w:proofErr w:type="spellStart"/>
            <w:r w:rsidR="00E633E4">
              <w:t>t</w:t>
            </w:r>
            <w:r w:rsidR="00E633E4" w:rsidRPr="00390EA4">
              <w:t>outes</w:t>
            </w:r>
            <w:proofErr w:type="spellEnd"/>
            <w:r w:rsidR="00E633E4" w:rsidRPr="00390EA4">
              <w:t xml:space="preserve"> les </w:t>
            </w:r>
            <w:proofErr w:type="spellStart"/>
            <w:r w:rsidR="00E633E4" w:rsidRPr="00390EA4">
              <w:t>activités</w:t>
            </w:r>
            <w:proofErr w:type="spellEnd"/>
            <w:r w:rsidR="00E633E4" w:rsidRPr="00390EA4">
              <w:t xml:space="preserve"> de CCC, de </w:t>
            </w:r>
            <w:proofErr w:type="spellStart"/>
            <w:r w:rsidR="00E633E4" w:rsidRPr="00390EA4">
              <w:t>prise</w:t>
            </w:r>
            <w:proofErr w:type="spellEnd"/>
            <w:r w:rsidR="00E633E4" w:rsidRPr="00390EA4">
              <w:rPr>
                <w:lang w:bidi="ar-DZ"/>
              </w:rPr>
              <w:t xml:space="preserve"> </w:t>
            </w:r>
            <w:proofErr w:type="spellStart"/>
            <w:r w:rsidR="00E633E4" w:rsidRPr="00390EA4">
              <w:rPr>
                <w:lang w:bidi="ar-DZ"/>
              </w:rPr>
              <w:t>en</w:t>
            </w:r>
            <w:proofErr w:type="spellEnd"/>
            <w:r w:rsidR="00E633E4" w:rsidRPr="00390EA4">
              <w:t xml:space="preserve"> charge des addictions, et de distribution de </w:t>
            </w:r>
            <w:proofErr w:type="spellStart"/>
            <w:r w:rsidR="00E633E4" w:rsidRPr="00390EA4">
              <w:t>préservatifs</w:t>
            </w:r>
            <w:proofErr w:type="spellEnd"/>
            <w:r w:rsidR="00E633E4" w:rsidRPr="00390EA4">
              <w:t xml:space="preserve"> à </w:t>
            </w:r>
            <w:proofErr w:type="spellStart"/>
            <w:r w:rsidR="00E633E4" w:rsidRPr="00390EA4">
              <w:t>l’endroit</w:t>
            </w:r>
            <w:proofErr w:type="spellEnd"/>
            <w:r w:rsidR="00E633E4" w:rsidRPr="00390EA4">
              <w:t xml:space="preserve"> des UD/UDI </w:t>
            </w:r>
            <w:proofErr w:type="spellStart"/>
            <w:r w:rsidR="00E633E4" w:rsidRPr="00390EA4">
              <w:t>seront</w:t>
            </w:r>
            <w:proofErr w:type="spellEnd"/>
            <w:r w:rsidR="00E633E4" w:rsidRPr="00390EA4">
              <w:t xml:space="preserve"> </w:t>
            </w:r>
            <w:proofErr w:type="spellStart"/>
            <w:r w:rsidR="00E633E4" w:rsidRPr="00390EA4">
              <w:t>couplées</w:t>
            </w:r>
            <w:proofErr w:type="spellEnd"/>
            <w:r w:rsidR="00E633E4" w:rsidRPr="00390EA4">
              <w:t xml:space="preserve"> au </w:t>
            </w:r>
            <w:proofErr w:type="spellStart"/>
            <w:r w:rsidR="00E633E4" w:rsidRPr="00390EA4">
              <w:t>dépistage</w:t>
            </w:r>
            <w:proofErr w:type="spellEnd"/>
            <w:r w:rsidR="00E633E4" w:rsidRPr="00390EA4">
              <w:t xml:space="preserve"> </w:t>
            </w:r>
            <w:r w:rsidR="00E633E4" w:rsidRPr="00750CA9">
              <w:rPr>
                <w:lang w:val="fr-FR"/>
              </w:rPr>
              <w:t xml:space="preserve">du </w:t>
            </w:r>
            <w:r w:rsidR="00E633E4" w:rsidRPr="00390EA4">
              <w:t>VIH</w:t>
            </w:r>
            <w:r w:rsidR="001C77FB">
              <w:t>,</w:t>
            </w:r>
            <w:r w:rsidR="00E633E4" w:rsidRPr="00390EA4">
              <w:t xml:space="preserve"> y </w:t>
            </w:r>
            <w:proofErr w:type="spellStart"/>
            <w:r w:rsidR="00E633E4" w:rsidRPr="00390EA4">
              <w:t>compris</w:t>
            </w:r>
            <w:proofErr w:type="spellEnd"/>
            <w:r w:rsidR="00E633E4" w:rsidRPr="00390EA4">
              <w:t xml:space="preserve"> la dispensation </w:t>
            </w:r>
            <w:proofErr w:type="spellStart"/>
            <w:r w:rsidR="00E633E4" w:rsidRPr="00390EA4">
              <w:t>d</w:t>
            </w:r>
            <w:r w:rsidR="00E633E4">
              <w:t>’</w:t>
            </w:r>
            <w:r w:rsidR="00E633E4" w:rsidRPr="00390EA4">
              <w:t>autotests</w:t>
            </w:r>
            <w:proofErr w:type="spellEnd"/>
            <w:r w:rsidR="00E633E4" w:rsidRPr="00390EA4">
              <w:t xml:space="preserve"> ; </w:t>
            </w:r>
          </w:p>
          <w:p w14:paraId="3300164C" w14:textId="401C39C1" w:rsidR="00825679" w:rsidRDefault="00E633E4" w:rsidP="00390EA4">
            <w:pPr>
              <w:pStyle w:val="liste1"/>
            </w:pPr>
            <w:proofErr w:type="spellStart"/>
            <w:r w:rsidRPr="006763B1">
              <w:t>Organisation</w:t>
            </w:r>
            <w:proofErr w:type="spellEnd"/>
            <w:r w:rsidRPr="006763B1">
              <w:t xml:space="preserve"> de </w:t>
            </w:r>
            <w:proofErr w:type="spellStart"/>
            <w:r w:rsidRPr="006763B1">
              <w:t>campagnes</w:t>
            </w:r>
            <w:proofErr w:type="spellEnd"/>
            <w:r w:rsidRPr="006763B1">
              <w:t xml:space="preserve"> </w:t>
            </w:r>
            <w:proofErr w:type="spellStart"/>
            <w:r w:rsidRPr="006763B1">
              <w:t>multimaladies</w:t>
            </w:r>
            <w:proofErr w:type="spellEnd"/>
            <w:r w:rsidRPr="006763B1">
              <w:t xml:space="preserve"> à </w:t>
            </w:r>
            <w:proofErr w:type="spellStart"/>
            <w:r w:rsidRPr="006763B1">
              <w:t>l’endroit</w:t>
            </w:r>
            <w:proofErr w:type="spellEnd"/>
            <w:r w:rsidRPr="006763B1">
              <w:t xml:space="preserve"> des hommes </w:t>
            </w:r>
            <w:proofErr w:type="spellStart"/>
            <w:r w:rsidRPr="006763B1">
              <w:t>vulnérables</w:t>
            </w:r>
            <w:proofErr w:type="spellEnd"/>
            <w:r w:rsidRPr="006763B1">
              <w:t xml:space="preserve"> (</w:t>
            </w:r>
            <w:proofErr w:type="spellStart"/>
            <w:r w:rsidRPr="006763B1">
              <w:t>orpailleurs</w:t>
            </w:r>
            <w:proofErr w:type="spellEnd"/>
            <w:r w:rsidRPr="006763B1">
              <w:t xml:space="preserve">, </w:t>
            </w:r>
            <w:proofErr w:type="spellStart"/>
            <w:r w:rsidRPr="006763B1">
              <w:t>routiers</w:t>
            </w:r>
            <w:proofErr w:type="spellEnd"/>
            <w:r w:rsidRPr="006763B1">
              <w:t xml:space="preserve">, clients des TS) aux </w:t>
            </w:r>
            <w:proofErr w:type="spellStart"/>
            <w:r w:rsidRPr="006763B1">
              <w:t>abords</w:t>
            </w:r>
            <w:proofErr w:type="spellEnd"/>
            <w:r w:rsidRPr="006763B1">
              <w:t xml:space="preserve"> des points </w:t>
            </w:r>
            <w:proofErr w:type="spellStart"/>
            <w:r w:rsidRPr="006763B1">
              <w:t>chauds</w:t>
            </w:r>
            <w:proofErr w:type="spellEnd"/>
            <w:r w:rsidRPr="006763B1">
              <w:t xml:space="preserve">, des </w:t>
            </w:r>
            <w:proofErr w:type="spellStart"/>
            <w:r w:rsidRPr="006763B1">
              <w:t>mines</w:t>
            </w:r>
            <w:proofErr w:type="spellEnd"/>
            <w:r w:rsidRPr="006763B1">
              <w:t xml:space="preserve"> et des </w:t>
            </w:r>
            <w:proofErr w:type="spellStart"/>
            <w:r w:rsidRPr="006763B1">
              <w:t>gares</w:t>
            </w:r>
            <w:proofErr w:type="spellEnd"/>
            <w:r w:rsidRPr="006763B1">
              <w:t xml:space="preserve"> </w:t>
            </w:r>
            <w:proofErr w:type="spellStart"/>
            <w:r w:rsidRPr="006763B1">
              <w:t>routières</w:t>
            </w:r>
            <w:proofErr w:type="spellEnd"/>
            <w:r w:rsidRPr="006763B1">
              <w:t xml:space="preserve">. Il </w:t>
            </w:r>
            <w:proofErr w:type="spellStart"/>
            <w:r w:rsidRPr="006763B1">
              <w:t>s’agira</w:t>
            </w:r>
            <w:proofErr w:type="spellEnd"/>
            <w:r w:rsidRPr="006763B1">
              <w:t xml:space="preserve"> </w:t>
            </w:r>
            <w:proofErr w:type="spellStart"/>
            <w:r w:rsidRPr="006763B1">
              <w:t>d’une</w:t>
            </w:r>
            <w:proofErr w:type="spellEnd"/>
            <w:r w:rsidRPr="006763B1">
              <w:t xml:space="preserve"> </w:t>
            </w:r>
            <w:r w:rsidRPr="00750CA9">
              <w:rPr>
                <w:lang w:val="fr-FR"/>
              </w:rPr>
              <w:t>offre</w:t>
            </w:r>
            <w:r w:rsidRPr="006763B1">
              <w:t xml:space="preserve"> de service </w:t>
            </w:r>
            <w:proofErr w:type="spellStart"/>
            <w:r w:rsidRPr="006763B1">
              <w:t>intégrée</w:t>
            </w:r>
            <w:proofErr w:type="spellEnd"/>
            <w:r w:rsidRPr="006763B1">
              <w:t xml:space="preserve"> de </w:t>
            </w:r>
            <w:proofErr w:type="spellStart"/>
            <w:r w:rsidRPr="006763B1">
              <w:t>dépistage</w:t>
            </w:r>
            <w:proofErr w:type="spellEnd"/>
            <w:r w:rsidRPr="006763B1">
              <w:t xml:space="preserve"> </w:t>
            </w:r>
            <w:r w:rsidRPr="00750CA9">
              <w:rPr>
                <w:lang w:val="fr-FR"/>
              </w:rPr>
              <w:t xml:space="preserve">du </w:t>
            </w:r>
            <w:r w:rsidRPr="006763B1">
              <w:t xml:space="preserve">VIH, </w:t>
            </w:r>
            <w:r w:rsidRPr="00750CA9">
              <w:rPr>
                <w:lang w:val="fr-FR"/>
              </w:rPr>
              <w:t>de l’</w:t>
            </w:r>
            <w:r w:rsidRPr="006763B1">
              <w:t>HTA et</w:t>
            </w:r>
            <w:r w:rsidRPr="00750CA9">
              <w:rPr>
                <w:lang w:val="fr-FR"/>
              </w:rPr>
              <w:t xml:space="preserve"> du</w:t>
            </w:r>
            <w:r w:rsidRPr="006763B1">
              <w:t xml:space="preserve"> </w:t>
            </w:r>
            <w:proofErr w:type="spellStart"/>
            <w:r w:rsidRPr="006763B1">
              <w:t>diabète</w:t>
            </w:r>
            <w:proofErr w:type="spellEnd"/>
            <w:r>
              <w:t>,</w:t>
            </w:r>
            <w:r w:rsidRPr="006763B1">
              <w:t xml:space="preserve"> pour </w:t>
            </w:r>
            <w:proofErr w:type="spellStart"/>
            <w:r w:rsidRPr="006763B1">
              <w:t>faciliter</w:t>
            </w:r>
            <w:proofErr w:type="spellEnd"/>
            <w:r w:rsidRPr="006763B1">
              <w:t xml:space="preserve"> </w:t>
            </w:r>
            <w:proofErr w:type="spellStart"/>
            <w:r w:rsidRPr="006763B1">
              <w:t>l’adhésion</w:t>
            </w:r>
            <w:proofErr w:type="spellEnd"/>
            <w:r w:rsidRPr="006763B1">
              <w:t xml:space="preserve"> de </w:t>
            </w:r>
            <w:proofErr w:type="spellStart"/>
            <w:r w:rsidRPr="006763B1">
              <w:t>ces</w:t>
            </w:r>
            <w:proofErr w:type="spellEnd"/>
            <w:r w:rsidRPr="006763B1">
              <w:t xml:space="preserve"> populations au</w:t>
            </w:r>
            <w:r w:rsidR="001C77FB">
              <w:t>x</w:t>
            </w:r>
            <w:r w:rsidRPr="006763B1">
              <w:t xml:space="preserve"> service</w:t>
            </w:r>
            <w:r w:rsidR="001C77FB">
              <w:t>s</w:t>
            </w:r>
            <w:r w:rsidRPr="006763B1">
              <w:t xml:space="preserve"> de </w:t>
            </w:r>
            <w:proofErr w:type="spellStart"/>
            <w:r w:rsidRPr="006763B1">
              <w:t>dépistage</w:t>
            </w:r>
            <w:proofErr w:type="spellEnd"/>
          </w:p>
          <w:p w14:paraId="4A9A2DF2" w14:textId="15E07663" w:rsidR="00C16750" w:rsidRPr="00390EA4" w:rsidRDefault="00C16750" w:rsidP="00390EA4">
            <w:pPr>
              <w:pStyle w:val="liste1"/>
            </w:pPr>
            <w:proofErr w:type="spellStart"/>
            <w:r w:rsidRPr="000410CF">
              <w:lastRenderedPageBreak/>
              <w:t>Organis</w:t>
            </w:r>
            <w:r w:rsidR="00E633E4">
              <w:t>ation</w:t>
            </w:r>
            <w:proofErr w:type="spellEnd"/>
            <w:r w:rsidR="00E633E4">
              <w:t xml:space="preserve"> de </w:t>
            </w:r>
            <w:r w:rsidRPr="000410CF">
              <w:t>consultation</w:t>
            </w:r>
            <w:r w:rsidR="00E633E4">
              <w:t>s</w:t>
            </w:r>
            <w:r w:rsidRPr="000410CF">
              <w:t xml:space="preserve"> </w:t>
            </w:r>
            <w:proofErr w:type="spellStart"/>
            <w:r w:rsidRPr="000410CF">
              <w:t>multimaladie</w:t>
            </w:r>
            <w:proofErr w:type="spellEnd"/>
            <w:r w:rsidRPr="000410CF">
              <w:t xml:space="preserve"> </w:t>
            </w:r>
            <w:proofErr w:type="spellStart"/>
            <w:r w:rsidR="00E633E4">
              <w:t>régulières</w:t>
            </w:r>
            <w:proofErr w:type="spellEnd"/>
            <w:r w:rsidRPr="000410CF">
              <w:t xml:space="preserve"> </w:t>
            </w:r>
            <w:proofErr w:type="spellStart"/>
            <w:r w:rsidR="00E633E4">
              <w:t>intégrant</w:t>
            </w:r>
            <w:proofErr w:type="spellEnd"/>
            <w:r w:rsidR="00E633E4">
              <w:t xml:space="preserve"> le</w:t>
            </w:r>
            <w:r w:rsidRPr="000410CF">
              <w:t xml:space="preserve"> </w:t>
            </w:r>
            <w:proofErr w:type="spellStart"/>
            <w:r w:rsidRPr="000410CF">
              <w:t>dépistage</w:t>
            </w:r>
            <w:proofErr w:type="spellEnd"/>
            <w:r w:rsidRPr="000410CF">
              <w:t xml:space="preserve"> VIH </w:t>
            </w:r>
            <w:r w:rsidR="00E633E4">
              <w:t xml:space="preserve">et </w:t>
            </w:r>
            <w:proofErr w:type="spellStart"/>
            <w:r w:rsidR="00E633E4">
              <w:t>ciblant</w:t>
            </w:r>
            <w:proofErr w:type="spellEnd"/>
            <w:r w:rsidR="00E633E4">
              <w:t xml:space="preserve"> l</w:t>
            </w:r>
            <w:r w:rsidRPr="000410CF">
              <w:t xml:space="preserve">es hommes </w:t>
            </w:r>
            <w:r w:rsidR="00E633E4">
              <w:t>≥</w:t>
            </w:r>
            <w:r w:rsidR="00FC50C2">
              <w:t xml:space="preserve"> </w:t>
            </w:r>
            <w:r w:rsidRPr="000410CF">
              <w:t xml:space="preserve">25 </w:t>
            </w:r>
            <w:proofErr w:type="spellStart"/>
            <w:r w:rsidRPr="000410CF">
              <w:t>ans</w:t>
            </w:r>
            <w:proofErr w:type="spellEnd"/>
          </w:p>
          <w:p w14:paraId="3306A5AC" w14:textId="5F2A69D6" w:rsidR="00E633E4" w:rsidRDefault="00772524" w:rsidP="00390EA4">
            <w:pPr>
              <w:pStyle w:val="liste1"/>
            </w:pPr>
            <w:proofErr w:type="spellStart"/>
            <w:r w:rsidRPr="00390EA4">
              <w:t>Renforcement</w:t>
            </w:r>
            <w:proofErr w:type="spellEnd"/>
            <w:r w:rsidRPr="00390EA4">
              <w:t xml:space="preserve"> des </w:t>
            </w:r>
            <w:proofErr w:type="spellStart"/>
            <w:r w:rsidRPr="00390EA4">
              <w:t>capacités</w:t>
            </w:r>
            <w:proofErr w:type="spellEnd"/>
            <w:r w:rsidRPr="00390EA4">
              <w:t xml:space="preserve"> des </w:t>
            </w:r>
            <w:proofErr w:type="spellStart"/>
            <w:r w:rsidRPr="00390EA4">
              <w:t>centres</w:t>
            </w:r>
            <w:proofErr w:type="spellEnd"/>
            <w:r w:rsidRPr="00390EA4">
              <w:t xml:space="preserve"> </w:t>
            </w:r>
            <w:proofErr w:type="spellStart"/>
            <w:r w:rsidRPr="00390EA4">
              <w:t>sociaux</w:t>
            </w:r>
            <w:proofErr w:type="spellEnd"/>
            <w:r w:rsidRPr="00390EA4">
              <w:t xml:space="preserve"> et des </w:t>
            </w:r>
            <w:proofErr w:type="spellStart"/>
            <w:r w:rsidRPr="00390EA4">
              <w:t>centres</w:t>
            </w:r>
            <w:proofErr w:type="spellEnd"/>
            <w:r w:rsidRPr="00390EA4">
              <w:t xml:space="preserve"> de </w:t>
            </w:r>
            <w:proofErr w:type="spellStart"/>
            <w:r w:rsidRPr="00390EA4">
              <w:t>r</w:t>
            </w:r>
            <w:r w:rsidR="001C77FB">
              <w:t>é</w:t>
            </w:r>
            <w:r w:rsidRPr="00390EA4">
              <w:t>insertion</w:t>
            </w:r>
            <w:proofErr w:type="spellEnd"/>
            <w:r w:rsidRPr="00390EA4">
              <w:t xml:space="preserve"> des enfants </w:t>
            </w:r>
            <w:proofErr w:type="spellStart"/>
            <w:r w:rsidRPr="00390EA4">
              <w:t>en</w:t>
            </w:r>
            <w:proofErr w:type="spellEnd"/>
            <w:r w:rsidRPr="00390EA4">
              <w:t xml:space="preserve"> </w:t>
            </w:r>
            <w:proofErr w:type="spellStart"/>
            <w:r w:rsidRPr="00390EA4">
              <w:t>difficulté</w:t>
            </w:r>
            <w:proofErr w:type="spellEnd"/>
            <w:r w:rsidRPr="00390EA4">
              <w:t xml:space="preserve"> pour </w:t>
            </w:r>
            <w:proofErr w:type="spellStart"/>
            <w:r w:rsidRPr="00390EA4">
              <w:t>l’intégration</w:t>
            </w:r>
            <w:proofErr w:type="spellEnd"/>
            <w:r w:rsidRPr="00390EA4">
              <w:t xml:space="preserve"> du </w:t>
            </w:r>
            <w:proofErr w:type="spellStart"/>
            <w:r w:rsidRPr="00390EA4">
              <w:t>dépistage</w:t>
            </w:r>
            <w:proofErr w:type="spellEnd"/>
            <w:r w:rsidRPr="00390EA4">
              <w:t xml:space="preserve"> </w:t>
            </w:r>
            <w:r w:rsidR="001C77FB">
              <w:t>VIH</w:t>
            </w:r>
            <w:r w:rsidRPr="00390EA4">
              <w:t xml:space="preserve"> </w:t>
            </w:r>
          </w:p>
          <w:p w14:paraId="79D128E6" w14:textId="792B2795" w:rsidR="00772524" w:rsidRDefault="00772524" w:rsidP="00390EA4">
            <w:pPr>
              <w:pStyle w:val="liste1"/>
            </w:pPr>
            <w:proofErr w:type="spellStart"/>
            <w:r w:rsidRPr="00390EA4">
              <w:t>Conduite</w:t>
            </w:r>
            <w:proofErr w:type="spellEnd"/>
            <w:r w:rsidRPr="00390EA4">
              <w:t xml:space="preserve"> </w:t>
            </w:r>
            <w:proofErr w:type="spellStart"/>
            <w:r w:rsidRPr="00390EA4">
              <w:t>d’évaluation</w:t>
            </w:r>
            <w:proofErr w:type="spellEnd"/>
            <w:r w:rsidRPr="00390EA4">
              <w:t xml:space="preserve"> </w:t>
            </w:r>
            <w:proofErr w:type="spellStart"/>
            <w:r w:rsidRPr="00390EA4">
              <w:t>externe</w:t>
            </w:r>
            <w:proofErr w:type="spellEnd"/>
            <w:r w:rsidRPr="00390EA4">
              <w:t xml:space="preserve"> de la </w:t>
            </w:r>
            <w:proofErr w:type="spellStart"/>
            <w:r w:rsidRPr="00390EA4">
              <w:t>qualité</w:t>
            </w:r>
            <w:proofErr w:type="spellEnd"/>
            <w:r w:rsidRPr="00390EA4">
              <w:t xml:space="preserve"> de la </w:t>
            </w:r>
            <w:proofErr w:type="spellStart"/>
            <w:r w:rsidRPr="00390EA4">
              <w:t>sérologie</w:t>
            </w:r>
            <w:proofErr w:type="spellEnd"/>
            <w:r w:rsidRPr="00390EA4">
              <w:t xml:space="preserve"> VIH des </w:t>
            </w:r>
            <w:proofErr w:type="spellStart"/>
            <w:r w:rsidRPr="00390EA4">
              <w:t>dépistages</w:t>
            </w:r>
            <w:proofErr w:type="spellEnd"/>
            <w:r w:rsidRPr="00390EA4">
              <w:t xml:space="preserve"> </w:t>
            </w:r>
            <w:proofErr w:type="spellStart"/>
            <w:r w:rsidRPr="00390EA4">
              <w:t>effec</w:t>
            </w:r>
            <w:r w:rsidR="006B2A98" w:rsidRPr="00390EA4">
              <w:t>t</w:t>
            </w:r>
            <w:r w:rsidRPr="00390EA4">
              <w:t>ués</w:t>
            </w:r>
            <w:proofErr w:type="spellEnd"/>
            <w:r w:rsidRPr="00390EA4">
              <w:t xml:space="preserve"> par les </w:t>
            </w:r>
            <w:proofErr w:type="spellStart"/>
            <w:r w:rsidRPr="00390EA4">
              <w:t>communautaires</w:t>
            </w:r>
            <w:proofErr w:type="spellEnd"/>
            <w:r w:rsidRPr="00390EA4">
              <w:t xml:space="preserve"> pour </w:t>
            </w:r>
            <w:proofErr w:type="spellStart"/>
            <w:r w:rsidRPr="00390EA4">
              <w:t>s’assurer</w:t>
            </w:r>
            <w:proofErr w:type="spellEnd"/>
            <w:r w:rsidRPr="00390EA4">
              <w:t xml:space="preserve"> de la </w:t>
            </w:r>
            <w:proofErr w:type="spellStart"/>
            <w:r w:rsidRPr="00390EA4">
              <w:t>qualité</w:t>
            </w:r>
            <w:proofErr w:type="spellEnd"/>
            <w:r w:rsidRPr="00390EA4">
              <w:t xml:space="preserve"> des </w:t>
            </w:r>
            <w:proofErr w:type="spellStart"/>
            <w:r w:rsidRPr="00390EA4">
              <w:t>résultats</w:t>
            </w:r>
            <w:proofErr w:type="spellEnd"/>
            <w:r w:rsidRPr="00390EA4">
              <w:t xml:space="preserve"> des tests du </w:t>
            </w:r>
            <w:proofErr w:type="spellStart"/>
            <w:r w:rsidRPr="00390EA4">
              <w:t>dépistage</w:t>
            </w:r>
            <w:proofErr w:type="spellEnd"/>
            <w:r w:rsidRPr="00390EA4">
              <w:t xml:space="preserve"> </w:t>
            </w:r>
            <w:proofErr w:type="spellStart"/>
            <w:r w:rsidRPr="00390EA4">
              <w:t>rendus</w:t>
            </w:r>
            <w:proofErr w:type="spellEnd"/>
            <w:r w:rsidRPr="00390EA4">
              <w:t xml:space="preserve"> aux clients</w:t>
            </w:r>
          </w:p>
          <w:p w14:paraId="24A8B947" w14:textId="6EBD9563" w:rsidR="00C46717" w:rsidRDefault="00C46717" w:rsidP="00390EA4">
            <w:pPr>
              <w:pStyle w:val="liste1"/>
            </w:pPr>
            <w:proofErr w:type="spellStart"/>
            <w:r>
              <w:t>Activités</w:t>
            </w:r>
            <w:proofErr w:type="spellEnd"/>
            <w:r>
              <w:t xml:space="preserve"> de consultations </w:t>
            </w:r>
            <w:proofErr w:type="spellStart"/>
            <w:r>
              <w:t>foraines</w:t>
            </w:r>
            <w:proofErr w:type="spellEnd"/>
            <w:r>
              <w:t xml:space="preserve"> </w:t>
            </w:r>
            <w:proofErr w:type="spellStart"/>
            <w:r>
              <w:t>faites</w:t>
            </w:r>
            <w:proofErr w:type="spellEnd"/>
            <w:r>
              <w:t xml:space="preserve"> à </w:t>
            </w:r>
            <w:proofErr w:type="spellStart"/>
            <w:r>
              <w:t>l’attention</w:t>
            </w:r>
            <w:proofErr w:type="spellEnd"/>
            <w:r>
              <w:t xml:space="preserve"> des femmes (</w:t>
            </w:r>
            <w:proofErr w:type="spellStart"/>
            <w:r>
              <w:t>dépistage</w:t>
            </w:r>
            <w:proofErr w:type="spellEnd"/>
            <w:r>
              <w:t xml:space="preserve"> IST/VIH, HPV, et </w:t>
            </w:r>
            <w:proofErr w:type="spellStart"/>
            <w:r>
              <w:t>offre</w:t>
            </w:r>
            <w:proofErr w:type="spellEnd"/>
            <w:r>
              <w:t xml:space="preserve"> de PF) (PNSME, ONG locales, UNFPA)</w:t>
            </w:r>
            <w:r w:rsidR="00557984">
              <w:t>.</w:t>
            </w:r>
          </w:p>
          <w:p w14:paraId="67C6ACE3" w14:textId="77777777" w:rsidR="001C77FB" w:rsidRPr="00750CA9" w:rsidRDefault="001C77FB" w:rsidP="00390EA4">
            <w:pPr>
              <w:rPr>
                <w:lang w:val="fr-FR"/>
              </w:rPr>
            </w:pPr>
          </w:p>
          <w:p w14:paraId="708493C4" w14:textId="2FC12F9C" w:rsidR="00772524" w:rsidRPr="008E228F" w:rsidRDefault="00772524" w:rsidP="006F6940">
            <w:pPr>
              <w:pStyle w:val="NormalJBGS"/>
              <w:numPr>
                <w:ilvl w:val="0"/>
                <w:numId w:val="31"/>
              </w:numPr>
              <w:jc w:val="both"/>
              <w:rPr>
                <w:b/>
                <w:i w:val="0"/>
                <w:color w:val="auto"/>
                <w:sz w:val="22"/>
                <w:szCs w:val="22"/>
              </w:rPr>
            </w:pPr>
            <w:proofErr w:type="spellStart"/>
            <w:r w:rsidRPr="008E228F">
              <w:rPr>
                <w:b/>
                <w:i w:val="0"/>
                <w:color w:val="auto"/>
                <w:sz w:val="22"/>
                <w:szCs w:val="22"/>
              </w:rPr>
              <w:t>Autodépistage</w:t>
            </w:r>
            <w:proofErr w:type="spellEnd"/>
            <w:r w:rsidRPr="008E228F">
              <w:rPr>
                <w:b/>
                <w:i w:val="0"/>
                <w:color w:val="auto"/>
                <w:sz w:val="22"/>
                <w:szCs w:val="22"/>
              </w:rPr>
              <w:t xml:space="preserve"> VIH</w:t>
            </w:r>
          </w:p>
          <w:p w14:paraId="1E822FFF" w14:textId="440F2A5A" w:rsidR="001C77FB" w:rsidRDefault="001C77FB" w:rsidP="004E1C7A">
            <w:pPr>
              <w:pStyle w:val="Texteformulaire"/>
              <w:rPr>
                <w:lang w:val="fr-FR"/>
              </w:rPr>
            </w:pPr>
            <w:r>
              <w:rPr>
                <w:lang w:val="fr-FR"/>
              </w:rPr>
              <w:t>Le passage à l’échelle</w:t>
            </w:r>
            <w:r w:rsidR="00772524" w:rsidRPr="00390EA4">
              <w:rPr>
                <w:lang w:val="fr-FR"/>
              </w:rPr>
              <w:t xml:space="preserve"> de l’</w:t>
            </w:r>
            <w:proofErr w:type="spellStart"/>
            <w:r w:rsidR="00772524" w:rsidRPr="00390EA4">
              <w:rPr>
                <w:lang w:val="fr-FR"/>
              </w:rPr>
              <w:t>autodépistage</w:t>
            </w:r>
            <w:proofErr w:type="spellEnd"/>
            <w:r w:rsidR="00772524" w:rsidRPr="00390EA4">
              <w:rPr>
                <w:lang w:val="fr-FR"/>
              </w:rPr>
              <w:t xml:space="preserve"> permettra d’accroître </w:t>
            </w:r>
            <w:r>
              <w:rPr>
                <w:lang w:val="fr-FR"/>
              </w:rPr>
              <w:t xml:space="preserve">le dépistage dans </w:t>
            </w:r>
            <w:r w:rsidR="00772524" w:rsidRPr="00390EA4">
              <w:rPr>
                <w:lang w:val="fr-FR"/>
              </w:rPr>
              <w:t>les populations difficilement accessibles par le</w:t>
            </w:r>
            <w:r>
              <w:rPr>
                <w:lang w:val="fr-FR"/>
              </w:rPr>
              <w:t>s</w:t>
            </w:r>
            <w:r w:rsidR="00772524" w:rsidRPr="00390EA4">
              <w:rPr>
                <w:lang w:val="fr-FR"/>
              </w:rPr>
              <w:t xml:space="preserve"> </w:t>
            </w:r>
            <w:r>
              <w:rPr>
                <w:lang w:val="fr-FR"/>
              </w:rPr>
              <w:t xml:space="preserve">stratégies de </w:t>
            </w:r>
            <w:r w:rsidR="00772524" w:rsidRPr="00390EA4">
              <w:rPr>
                <w:lang w:val="fr-FR"/>
              </w:rPr>
              <w:t xml:space="preserve">dépistage </w:t>
            </w:r>
            <w:r>
              <w:rPr>
                <w:lang w:val="fr-FR"/>
              </w:rPr>
              <w:t xml:space="preserve">habituelles et par ricochet </w:t>
            </w:r>
            <w:r w:rsidRPr="00272B9C">
              <w:rPr>
                <w:lang w:val="fr-FR"/>
              </w:rPr>
              <w:t>la fr</w:t>
            </w:r>
            <w:r>
              <w:rPr>
                <w:lang w:val="fr-FR"/>
              </w:rPr>
              <w:t>é</w:t>
            </w:r>
            <w:r w:rsidRPr="00272B9C">
              <w:rPr>
                <w:lang w:val="fr-FR"/>
              </w:rPr>
              <w:t>quentation des services de dépistage</w:t>
            </w:r>
            <w:r>
              <w:rPr>
                <w:lang w:val="fr-FR"/>
              </w:rPr>
              <w:t xml:space="preserve"> à terme.</w:t>
            </w:r>
            <w:r w:rsidRPr="00272B9C">
              <w:rPr>
                <w:lang w:val="fr-FR"/>
              </w:rPr>
              <w:t xml:space="preserve"> </w:t>
            </w:r>
          </w:p>
          <w:p w14:paraId="554FB641" w14:textId="5277E76D" w:rsidR="001C77FB" w:rsidRDefault="00772524" w:rsidP="004E1C7A">
            <w:pPr>
              <w:pStyle w:val="Texteformulaire"/>
              <w:rPr>
                <w:lang w:val="fr-FR"/>
              </w:rPr>
            </w:pPr>
            <w:r w:rsidRPr="00390EA4">
              <w:rPr>
                <w:lang w:val="fr-FR"/>
              </w:rPr>
              <w:t>A cet effet, les activités suivantes seront conduit</w:t>
            </w:r>
            <w:r w:rsidR="001C77FB">
              <w:rPr>
                <w:lang w:val="fr-FR"/>
              </w:rPr>
              <w:t>es :</w:t>
            </w:r>
            <w:r w:rsidRPr="00390EA4">
              <w:rPr>
                <w:lang w:val="fr-FR"/>
              </w:rPr>
              <w:t xml:space="preserve"> </w:t>
            </w:r>
          </w:p>
          <w:p w14:paraId="6E5D1608" w14:textId="4A7E8F5F" w:rsidR="001C77FB" w:rsidRDefault="00772524" w:rsidP="00390EA4">
            <w:pPr>
              <w:pStyle w:val="liste1"/>
            </w:pPr>
            <w:r w:rsidRPr="00390EA4">
              <w:t xml:space="preserve">La dispensation des </w:t>
            </w:r>
            <w:proofErr w:type="spellStart"/>
            <w:r w:rsidR="00D04751" w:rsidRPr="00390EA4">
              <w:t>autotests</w:t>
            </w:r>
            <w:proofErr w:type="spellEnd"/>
            <w:r w:rsidR="00D04751" w:rsidRPr="00390EA4">
              <w:t xml:space="preserve"> sera</w:t>
            </w:r>
            <w:r w:rsidRPr="00390EA4">
              <w:t xml:space="preserve"> </w:t>
            </w:r>
            <w:proofErr w:type="spellStart"/>
            <w:r w:rsidRPr="00390EA4">
              <w:t>prioritairement</w:t>
            </w:r>
            <w:proofErr w:type="spellEnd"/>
            <w:r w:rsidRPr="00390EA4">
              <w:t xml:space="preserve"> </w:t>
            </w:r>
            <w:proofErr w:type="spellStart"/>
            <w:r w:rsidRPr="00390EA4">
              <w:t>ciblée</w:t>
            </w:r>
            <w:proofErr w:type="spellEnd"/>
            <w:r w:rsidRPr="00390EA4">
              <w:t xml:space="preserve"> sur les HSH</w:t>
            </w:r>
            <w:r w:rsidR="00D04751" w:rsidRPr="00390EA4">
              <w:t xml:space="preserve"> de plus de 35 </w:t>
            </w:r>
            <w:proofErr w:type="spellStart"/>
            <w:r w:rsidR="00D04751" w:rsidRPr="00390EA4">
              <w:t>ans</w:t>
            </w:r>
            <w:proofErr w:type="spellEnd"/>
            <w:r w:rsidRPr="00390EA4">
              <w:t xml:space="preserve">, les UD/UDI, les </w:t>
            </w:r>
            <w:proofErr w:type="spellStart"/>
            <w:r w:rsidRPr="00390EA4">
              <w:t>partenaires</w:t>
            </w:r>
            <w:proofErr w:type="spellEnd"/>
            <w:r w:rsidRPr="00390EA4">
              <w:t xml:space="preserve"> </w:t>
            </w:r>
            <w:proofErr w:type="spellStart"/>
            <w:r w:rsidRPr="00390EA4">
              <w:t>sexuels</w:t>
            </w:r>
            <w:proofErr w:type="spellEnd"/>
            <w:r w:rsidRPr="00390EA4">
              <w:t xml:space="preserve"> des PVVIH dans le cadre de </w:t>
            </w:r>
            <w:proofErr w:type="spellStart"/>
            <w:r w:rsidRPr="00390EA4">
              <w:t>l’index</w:t>
            </w:r>
            <w:proofErr w:type="spellEnd"/>
            <w:r w:rsidRPr="00390EA4">
              <w:t xml:space="preserve"> testing, les clients des TS par </w:t>
            </w:r>
            <w:proofErr w:type="spellStart"/>
            <w:r w:rsidRPr="00390EA4">
              <w:t>une</w:t>
            </w:r>
            <w:proofErr w:type="spellEnd"/>
            <w:r w:rsidRPr="00390EA4">
              <w:t xml:space="preserve"> distribution </w:t>
            </w:r>
            <w:proofErr w:type="spellStart"/>
            <w:r w:rsidRPr="00390EA4">
              <w:t>secondaire</w:t>
            </w:r>
            <w:proofErr w:type="spellEnd"/>
            <w:r w:rsidRPr="00390EA4">
              <w:t xml:space="preserve">, les TS </w:t>
            </w:r>
            <w:proofErr w:type="spellStart"/>
            <w:r w:rsidRPr="00390EA4">
              <w:t>exerçant</w:t>
            </w:r>
            <w:proofErr w:type="spellEnd"/>
            <w:r w:rsidRPr="00390EA4">
              <w:t xml:space="preserve"> sur les </w:t>
            </w:r>
            <w:proofErr w:type="spellStart"/>
            <w:r w:rsidRPr="00390EA4">
              <w:t>réseaux</w:t>
            </w:r>
            <w:proofErr w:type="spellEnd"/>
            <w:r w:rsidRPr="00390EA4">
              <w:t xml:space="preserve"> </w:t>
            </w:r>
            <w:proofErr w:type="spellStart"/>
            <w:r w:rsidRPr="00390EA4">
              <w:t>sociaux</w:t>
            </w:r>
            <w:proofErr w:type="spellEnd"/>
            <w:r w:rsidRPr="00390EA4">
              <w:t xml:space="preserve"> et non </w:t>
            </w:r>
            <w:proofErr w:type="spellStart"/>
            <w:r w:rsidRPr="00390EA4">
              <w:t>atteintes</w:t>
            </w:r>
            <w:proofErr w:type="spellEnd"/>
            <w:r w:rsidRPr="00390EA4">
              <w:t xml:space="preserve"> par les interventions de </w:t>
            </w:r>
            <w:proofErr w:type="spellStart"/>
            <w:r w:rsidRPr="00390EA4">
              <w:t>proximité</w:t>
            </w:r>
            <w:proofErr w:type="spellEnd"/>
            <w:r w:rsidRPr="00390EA4">
              <w:t xml:space="preserve"> à travers </w:t>
            </w:r>
            <w:proofErr w:type="spellStart"/>
            <w:r w:rsidRPr="00390EA4">
              <w:t>une</w:t>
            </w:r>
            <w:proofErr w:type="spellEnd"/>
            <w:r w:rsidRPr="00390EA4">
              <w:t xml:space="preserve"> dispensation </w:t>
            </w:r>
            <w:proofErr w:type="spellStart"/>
            <w:r w:rsidRPr="00390EA4">
              <w:t>en</w:t>
            </w:r>
            <w:proofErr w:type="spellEnd"/>
            <w:r w:rsidRPr="00390EA4">
              <w:t xml:space="preserve"> </w:t>
            </w:r>
            <w:proofErr w:type="spellStart"/>
            <w:r w:rsidRPr="00390EA4">
              <w:t>ligne</w:t>
            </w:r>
            <w:proofErr w:type="spellEnd"/>
            <w:r w:rsidRPr="00390EA4">
              <w:t xml:space="preserve">  </w:t>
            </w:r>
          </w:p>
          <w:p w14:paraId="128B541B" w14:textId="7A82CAFB" w:rsidR="001C77FB" w:rsidRDefault="001C77FB" w:rsidP="00390EA4">
            <w:pPr>
              <w:pStyle w:val="liste1"/>
            </w:pPr>
            <w:proofErr w:type="spellStart"/>
            <w:r>
              <w:t>L’</w:t>
            </w:r>
            <w:r w:rsidR="00D04751" w:rsidRPr="00390EA4">
              <w:t>équipe</w:t>
            </w:r>
            <w:r>
              <w:t>ment</w:t>
            </w:r>
            <w:proofErr w:type="spellEnd"/>
            <w:r>
              <w:t xml:space="preserve"> de</w:t>
            </w:r>
            <w:r w:rsidR="00D04751" w:rsidRPr="00390EA4">
              <w:t xml:space="preserve"> 28 </w:t>
            </w:r>
            <w:r>
              <w:t>PE</w:t>
            </w:r>
            <w:r w:rsidRPr="00390EA4">
              <w:t xml:space="preserve"> </w:t>
            </w:r>
            <w:r w:rsidR="00D04751" w:rsidRPr="00390EA4">
              <w:t xml:space="preserve">pour </w:t>
            </w:r>
            <w:proofErr w:type="spellStart"/>
            <w:r w:rsidR="00D04751" w:rsidRPr="00390EA4">
              <w:t>l’identification</w:t>
            </w:r>
            <w:proofErr w:type="spellEnd"/>
            <w:r w:rsidR="00D04751" w:rsidRPr="00390EA4">
              <w:t xml:space="preserve"> de nouveaux HSH </w:t>
            </w:r>
            <w:proofErr w:type="spellStart"/>
            <w:r w:rsidR="00D04751" w:rsidRPr="00390EA4">
              <w:t>en</w:t>
            </w:r>
            <w:proofErr w:type="spellEnd"/>
            <w:r w:rsidR="00D04751" w:rsidRPr="00390EA4">
              <w:t xml:space="preserve"> </w:t>
            </w:r>
            <w:proofErr w:type="spellStart"/>
            <w:r w:rsidR="00D04751" w:rsidRPr="00390EA4">
              <w:t>ligne</w:t>
            </w:r>
            <w:proofErr w:type="spellEnd"/>
            <w:r>
              <w:t xml:space="preserve">, </w:t>
            </w:r>
            <w:proofErr w:type="spellStart"/>
            <w:r w:rsidR="00D04751" w:rsidRPr="00390EA4">
              <w:t>couplée</w:t>
            </w:r>
            <w:proofErr w:type="spellEnd"/>
            <w:r w:rsidR="00D04751" w:rsidRPr="00390EA4">
              <w:t xml:space="preserve"> à la promotion </w:t>
            </w:r>
            <w:proofErr w:type="spellStart"/>
            <w:r w:rsidR="00D04751" w:rsidRPr="00390EA4">
              <w:t>d’autotests</w:t>
            </w:r>
            <w:proofErr w:type="spellEnd"/>
            <w:r w:rsidR="00D04751" w:rsidRPr="00390EA4">
              <w:t xml:space="preserve"> </w:t>
            </w:r>
          </w:p>
          <w:p w14:paraId="1C84FC31" w14:textId="744F04A1" w:rsidR="00987ED2" w:rsidRDefault="00772524" w:rsidP="00390EA4">
            <w:pPr>
              <w:pStyle w:val="liste1"/>
            </w:pPr>
            <w:r w:rsidRPr="00390EA4">
              <w:t xml:space="preserve">Une étude sera </w:t>
            </w:r>
            <w:proofErr w:type="spellStart"/>
            <w:r w:rsidRPr="00390EA4">
              <w:t>conduite</w:t>
            </w:r>
            <w:proofErr w:type="spellEnd"/>
            <w:r w:rsidRPr="00390EA4">
              <w:t xml:space="preserve"> pour </w:t>
            </w:r>
            <w:proofErr w:type="spellStart"/>
            <w:r w:rsidRPr="00390EA4">
              <w:t>apprécier</w:t>
            </w:r>
            <w:proofErr w:type="spellEnd"/>
            <w:r w:rsidRPr="00390EA4">
              <w:t xml:space="preserve"> </w:t>
            </w:r>
            <w:proofErr w:type="spellStart"/>
            <w:r w:rsidRPr="00390EA4">
              <w:t>l’impact</w:t>
            </w:r>
            <w:proofErr w:type="spellEnd"/>
            <w:r w:rsidRPr="00390EA4">
              <w:t xml:space="preserve"> de </w:t>
            </w:r>
            <w:proofErr w:type="spellStart"/>
            <w:r w:rsidRPr="00390EA4">
              <w:t>l’autodépistage</w:t>
            </w:r>
            <w:proofErr w:type="spellEnd"/>
            <w:r w:rsidRPr="00390EA4">
              <w:t xml:space="preserve"> sur </w:t>
            </w:r>
            <w:proofErr w:type="spellStart"/>
            <w:r w:rsidRPr="00390EA4">
              <w:t>l’identification</w:t>
            </w:r>
            <w:proofErr w:type="spellEnd"/>
            <w:r w:rsidRPr="00390EA4">
              <w:t xml:space="preserve"> des PVVIH</w:t>
            </w:r>
          </w:p>
          <w:p w14:paraId="21D596BE" w14:textId="72D357BA" w:rsidR="00CB0E4A" w:rsidRPr="00390EA4" w:rsidRDefault="00CB0E4A" w:rsidP="00CB0E4A">
            <w:pPr>
              <w:pStyle w:val="Texteformulaire"/>
              <w:rPr>
                <w:i/>
                <w:lang w:val="fr-FR"/>
              </w:rPr>
            </w:pPr>
            <w:r w:rsidRPr="00390EA4">
              <w:rPr>
                <w:lang w:val="fr-FR"/>
              </w:rPr>
              <w:t>Les interventions de dépistage seront conduites dans l’ensemble du pays, avec un ciblage sur</w:t>
            </w:r>
            <w:r w:rsidR="002673B1" w:rsidRPr="00390EA4">
              <w:rPr>
                <w:lang w:val="fr-FR"/>
              </w:rPr>
              <w:t xml:space="preserve"> 28 DS, concentrant 80% des besoins non </w:t>
            </w:r>
            <w:proofErr w:type="spellStart"/>
            <w:r w:rsidR="002673B1" w:rsidRPr="00750CA9">
              <w:t>couverts</w:t>
            </w:r>
            <w:proofErr w:type="spellEnd"/>
            <w:r w:rsidR="002673B1" w:rsidRPr="00750CA9">
              <w:t xml:space="preserve"> (80% du gap national sur le 1er 90, 80% des </w:t>
            </w:r>
            <w:proofErr w:type="spellStart"/>
            <w:r w:rsidR="002673B1" w:rsidRPr="00750CA9">
              <w:t>nouvelles</w:t>
            </w:r>
            <w:proofErr w:type="spellEnd"/>
            <w:r w:rsidR="002673B1" w:rsidRPr="00750CA9">
              <w:t xml:space="preserve"> infections et 80% des PVVIH).</w:t>
            </w:r>
            <w:r w:rsidRPr="00750CA9">
              <w:t xml:space="preserve"> L</w:t>
            </w:r>
            <w:r w:rsidRPr="00390EA4">
              <w:rPr>
                <w:lang w:val="fr-FR"/>
              </w:rPr>
              <w:t xml:space="preserve">e détail de la couverture par DS figure dans la cartographie ci-annexée, distinguant les contributions de PEPFAR et du FM. Alliance Côte d’Ivoire prévoit de couvrir 41 DS pour les interventions communautaires de </w:t>
            </w:r>
            <w:r w:rsidR="002673B1" w:rsidRPr="00390EA4">
              <w:rPr>
                <w:lang w:val="fr-FR"/>
              </w:rPr>
              <w:t>dépistage</w:t>
            </w:r>
            <w:r w:rsidRPr="00390EA4">
              <w:rPr>
                <w:lang w:val="fr-FR"/>
              </w:rPr>
              <w:t xml:space="preserve">.   </w:t>
            </w:r>
          </w:p>
          <w:p w14:paraId="75336C3F" w14:textId="2917323B" w:rsidR="00CB0E4A" w:rsidRPr="00750CA9" w:rsidRDefault="00AB286C" w:rsidP="00390EA4">
            <w:pPr>
              <w:rPr>
                <w:lang w:val="fr-FR"/>
              </w:rPr>
            </w:pPr>
            <w:r w:rsidRPr="00AB286C">
              <w:rPr>
                <w:b/>
                <w:bCs/>
                <w:iCs/>
                <w:sz w:val="22"/>
                <w:szCs w:val="22"/>
              </w:rPr>
              <w:t xml:space="preserve">Cf. </w:t>
            </w:r>
            <w:proofErr w:type="spellStart"/>
            <w:r w:rsidRPr="00AB286C">
              <w:rPr>
                <w:b/>
                <w:bCs/>
                <w:iCs/>
                <w:sz w:val="22"/>
                <w:szCs w:val="22"/>
              </w:rPr>
              <w:t>cartographie</w:t>
            </w:r>
            <w:proofErr w:type="spellEnd"/>
            <w:r w:rsidRPr="00AB286C">
              <w:rPr>
                <w:b/>
                <w:bCs/>
                <w:iCs/>
                <w:sz w:val="22"/>
                <w:szCs w:val="22"/>
              </w:rPr>
              <w:t xml:space="preserve"> de </w:t>
            </w:r>
            <w:proofErr w:type="spellStart"/>
            <w:r w:rsidRPr="00AB286C">
              <w:rPr>
                <w:b/>
                <w:bCs/>
                <w:iCs/>
                <w:sz w:val="22"/>
                <w:szCs w:val="22"/>
              </w:rPr>
              <w:t>l’offre</w:t>
            </w:r>
            <w:proofErr w:type="spellEnd"/>
            <w:r w:rsidRPr="00AB286C">
              <w:rPr>
                <w:b/>
                <w:bCs/>
                <w:iCs/>
                <w:sz w:val="22"/>
                <w:szCs w:val="22"/>
              </w:rPr>
              <w:t xml:space="preserve"> de services PEPFAR et FM </w:t>
            </w:r>
            <w:r w:rsidR="00557984" w:rsidRPr="0002374C">
              <w:rPr>
                <w:i/>
                <w:sz w:val="22"/>
                <w:szCs w:val="22"/>
              </w:rPr>
              <w:t>(</w:t>
            </w:r>
            <w:proofErr w:type="spellStart"/>
            <w:r w:rsidR="00557984" w:rsidRPr="0002374C">
              <w:rPr>
                <w:i/>
                <w:sz w:val="22"/>
                <w:szCs w:val="22"/>
              </w:rPr>
              <w:t>Annexe</w:t>
            </w:r>
            <w:proofErr w:type="spellEnd"/>
            <w:r w:rsidR="00557984" w:rsidRPr="0002374C">
              <w:rPr>
                <w:i/>
                <w:sz w:val="22"/>
                <w:szCs w:val="22"/>
              </w:rPr>
              <w:t xml:space="preserve"> </w:t>
            </w:r>
            <w:r w:rsidR="00557984">
              <w:rPr>
                <w:i/>
                <w:sz w:val="22"/>
                <w:szCs w:val="22"/>
              </w:rPr>
              <w:t>27</w:t>
            </w:r>
            <w:r w:rsidR="00557984" w:rsidRPr="0002374C">
              <w:rPr>
                <w:i/>
                <w:sz w:val="22"/>
                <w:szCs w:val="22"/>
              </w:rPr>
              <w:t>)</w:t>
            </w:r>
          </w:p>
        </w:tc>
      </w:tr>
      <w:tr w:rsidR="00E97A2E" w:rsidRPr="00F00BB3" w14:paraId="510C7D3E" w14:textId="77777777" w:rsidTr="007A0F0B">
        <w:trPr>
          <w:trHeight w:val="288"/>
        </w:trPr>
        <w:tc>
          <w:tcPr>
            <w:tcW w:w="1560" w:type="dxa"/>
            <w:shd w:val="clear" w:color="auto" w:fill="F2F2F2"/>
            <w:vAlign w:val="center"/>
          </w:tcPr>
          <w:p w14:paraId="5375C701" w14:textId="51FA930C" w:rsidR="00E97A2E" w:rsidRPr="007F7A64" w:rsidRDefault="00E97A2E" w:rsidP="00E80CEF">
            <w:pPr>
              <w:spacing w:after="0"/>
              <w:rPr>
                <w:b/>
              </w:rPr>
            </w:pPr>
            <w:r>
              <w:rPr>
                <w:b/>
                <w:lang w:bidi="fr-FR"/>
              </w:rPr>
              <w:lastRenderedPageBreak/>
              <w:t xml:space="preserve">Populations </w:t>
            </w:r>
            <w:proofErr w:type="spellStart"/>
            <w:r>
              <w:rPr>
                <w:b/>
                <w:lang w:bidi="fr-FR"/>
              </w:rPr>
              <w:t>prioritaires</w:t>
            </w:r>
            <w:proofErr w:type="spellEnd"/>
          </w:p>
        </w:tc>
        <w:tc>
          <w:tcPr>
            <w:tcW w:w="9240" w:type="dxa"/>
          </w:tcPr>
          <w:p w14:paraId="0B412275" w14:textId="77777777" w:rsidR="00772524" w:rsidRPr="00843F38" w:rsidRDefault="00772524" w:rsidP="004E1C7A">
            <w:pPr>
              <w:pStyle w:val="Texteformulaire"/>
              <w:rPr>
                <w:lang w:val="fr-FR"/>
              </w:rPr>
            </w:pPr>
            <w:r w:rsidRPr="00843F38">
              <w:rPr>
                <w:lang w:val="fr-FR"/>
              </w:rPr>
              <w:t>Les cibles prioritaires du dépistage pour cette présente subvention sont :</w:t>
            </w:r>
          </w:p>
          <w:p w14:paraId="5CD39E5F" w14:textId="16717B84" w:rsidR="00772524" w:rsidRPr="00750CA9" w:rsidRDefault="00772524" w:rsidP="004E1C7A">
            <w:pPr>
              <w:pStyle w:val="liste1"/>
              <w:rPr>
                <w:lang w:val="fr-FR"/>
              </w:rPr>
            </w:pPr>
            <w:r w:rsidRPr="00750CA9">
              <w:rPr>
                <w:lang w:val="fr-FR"/>
              </w:rPr>
              <w:t>Les populations clés</w:t>
            </w:r>
            <w:r w:rsidR="003B2DAA">
              <w:rPr>
                <w:lang w:val="fr-FR"/>
              </w:rPr>
              <w:t xml:space="preserve"> </w:t>
            </w:r>
            <w:r w:rsidRPr="00750CA9">
              <w:rPr>
                <w:lang w:val="fr-FR"/>
              </w:rPr>
              <w:t xml:space="preserve">: TS, HSH, </w:t>
            </w:r>
            <w:proofErr w:type="spellStart"/>
            <w:r w:rsidR="00FC6510" w:rsidRPr="000079FB">
              <w:t>tran</w:t>
            </w:r>
            <w:r w:rsidR="00AB1EAE">
              <w:t>s</w:t>
            </w:r>
            <w:r w:rsidR="00FC6510" w:rsidRPr="000079FB">
              <w:t>genres</w:t>
            </w:r>
            <w:proofErr w:type="spellEnd"/>
            <w:r w:rsidR="00FC6510" w:rsidRPr="00750CA9">
              <w:rPr>
                <w:lang w:val="fr-FR"/>
              </w:rPr>
              <w:t xml:space="preserve">, </w:t>
            </w:r>
            <w:r w:rsidRPr="00750CA9">
              <w:rPr>
                <w:lang w:val="fr-FR"/>
              </w:rPr>
              <w:t>UD/UDI,</w:t>
            </w:r>
            <w:r w:rsidR="00FC6510" w:rsidRPr="00750CA9">
              <w:rPr>
                <w:lang w:val="fr-FR"/>
              </w:rPr>
              <w:t xml:space="preserve"> Détenus</w:t>
            </w:r>
          </w:p>
          <w:p w14:paraId="3D6F815F" w14:textId="0F6E7F9F" w:rsidR="00772524" w:rsidRPr="00750CA9" w:rsidRDefault="00772524" w:rsidP="004E1C7A">
            <w:pPr>
              <w:pStyle w:val="liste1"/>
              <w:rPr>
                <w:lang w:val="fr-FR"/>
              </w:rPr>
            </w:pPr>
            <w:r w:rsidRPr="00750CA9">
              <w:rPr>
                <w:lang w:val="fr-FR"/>
              </w:rPr>
              <w:t>Les autres populations vulnérables</w:t>
            </w:r>
            <w:r w:rsidR="003B2DAA">
              <w:rPr>
                <w:lang w:val="fr-FR"/>
              </w:rPr>
              <w:t xml:space="preserve"> </w:t>
            </w:r>
            <w:r w:rsidRPr="00750CA9">
              <w:rPr>
                <w:lang w:val="fr-FR"/>
              </w:rPr>
              <w:t xml:space="preserve">: partenaires sexuels </w:t>
            </w:r>
            <w:r w:rsidR="003B2DAA">
              <w:rPr>
                <w:lang w:val="fr-FR"/>
              </w:rPr>
              <w:t>et clients des TS</w:t>
            </w:r>
            <w:r w:rsidRPr="00750CA9">
              <w:rPr>
                <w:lang w:val="fr-FR"/>
              </w:rPr>
              <w:t>, partenaires sexuels des PVVIH, adolescents et jeunes sexuellement actifs</w:t>
            </w:r>
            <w:r w:rsidRPr="001B7DE0">
              <w:t>,</w:t>
            </w:r>
            <w:r w:rsidRPr="00750CA9">
              <w:rPr>
                <w:lang w:val="fr-FR"/>
              </w:rPr>
              <w:t xml:space="preserve"> personnes en uniformes, personnes en situation de handicap, hommes de plus de 25</w:t>
            </w:r>
            <w:r w:rsidR="00A64686" w:rsidRPr="00750CA9">
              <w:rPr>
                <w:lang w:val="fr-FR"/>
              </w:rPr>
              <w:t xml:space="preserve"> </w:t>
            </w:r>
            <w:r w:rsidRPr="00750CA9">
              <w:rPr>
                <w:lang w:val="fr-FR"/>
              </w:rPr>
              <w:t>ans</w:t>
            </w:r>
          </w:p>
          <w:p w14:paraId="2165CF7E" w14:textId="77777777" w:rsidR="00E97A2E" w:rsidRPr="001F066D" w:rsidRDefault="00772524" w:rsidP="004E1C7A">
            <w:pPr>
              <w:pStyle w:val="liste1"/>
            </w:pPr>
            <w:r w:rsidRPr="00772524">
              <w:t>Femmes enceintes et enfants exposés</w:t>
            </w:r>
          </w:p>
          <w:p w14:paraId="59D5DECD" w14:textId="2FC4D95F" w:rsidR="001F066D" w:rsidRPr="00750CA9" w:rsidRDefault="001F066D" w:rsidP="004E1C7A">
            <w:pPr>
              <w:pStyle w:val="liste1"/>
              <w:rPr>
                <w:lang w:val="fr-FR"/>
              </w:rPr>
            </w:pPr>
            <w:r w:rsidRPr="00750CA9">
              <w:rPr>
                <w:lang w:val="fr-FR"/>
              </w:rPr>
              <w:t xml:space="preserve">Conjoint des </w:t>
            </w:r>
            <w:r w:rsidR="00FC6510" w:rsidRPr="00750CA9">
              <w:rPr>
                <w:lang w:val="fr-FR"/>
              </w:rPr>
              <w:t>f</w:t>
            </w:r>
            <w:r w:rsidRPr="00750CA9">
              <w:rPr>
                <w:lang w:val="fr-FR"/>
              </w:rPr>
              <w:t>emmes enceintes et allaitantes</w:t>
            </w:r>
          </w:p>
          <w:p w14:paraId="68604A3A" w14:textId="341E62B5" w:rsidR="001F066D" w:rsidRPr="00750CA9" w:rsidRDefault="001F066D" w:rsidP="004E1C7A">
            <w:pPr>
              <w:pStyle w:val="liste1"/>
              <w:rPr>
                <w:lang w:val="fr-FR"/>
              </w:rPr>
            </w:pPr>
            <w:r w:rsidRPr="00750CA9">
              <w:rPr>
                <w:lang w:val="fr-FR"/>
              </w:rPr>
              <w:t xml:space="preserve">Les Jeunes filles victimes </w:t>
            </w:r>
            <w:r w:rsidR="00FC50C2" w:rsidRPr="00750CA9">
              <w:rPr>
                <w:lang w:val="fr-FR"/>
              </w:rPr>
              <w:t>d’</w:t>
            </w:r>
            <w:r w:rsidRPr="00750CA9">
              <w:rPr>
                <w:lang w:val="fr-FR"/>
              </w:rPr>
              <w:t>exploitation sexuelle (TS mineurs)</w:t>
            </w:r>
          </w:p>
        </w:tc>
      </w:tr>
      <w:tr w:rsidR="00E97A2E" w:rsidRPr="0037522B" w14:paraId="1F88B05B" w14:textId="77777777" w:rsidTr="007A0F0B">
        <w:trPr>
          <w:trHeight w:val="288"/>
        </w:trPr>
        <w:tc>
          <w:tcPr>
            <w:tcW w:w="1560" w:type="dxa"/>
            <w:shd w:val="clear" w:color="auto" w:fill="F2F2F2"/>
            <w:vAlign w:val="center"/>
          </w:tcPr>
          <w:p w14:paraId="672D9C1F" w14:textId="6AACF825" w:rsidR="00E97A2E" w:rsidRDefault="00E97A2E" w:rsidP="00E80CEF">
            <w:pPr>
              <w:spacing w:after="0"/>
              <w:rPr>
                <w:b/>
              </w:rPr>
            </w:pPr>
            <w:r>
              <w:rPr>
                <w:b/>
                <w:lang w:bidi="fr-FR"/>
              </w:rPr>
              <w:t xml:space="preserve">Obstacles et </w:t>
            </w:r>
            <w:proofErr w:type="spellStart"/>
            <w:r>
              <w:rPr>
                <w:b/>
                <w:lang w:bidi="fr-FR"/>
              </w:rPr>
              <w:t>inégalités</w:t>
            </w:r>
            <w:proofErr w:type="spellEnd"/>
          </w:p>
        </w:tc>
        <w:tc>
          <w:tcPr>
            <w:tcW w:w="9240" w:type="dxa"/>
          </w:tcPr>
          <w:p w14:paraId="1E59F6C9" w14:textId="53D6C1FD" w:rsidR="00A64686" w:rsidRPr="00750CA9" w:rsidRDefault="00BA6152" w:rsidP="004E1C7A">
            <w:pPr>
              <w:pStyle w:val="Texteformulaire"/>
            </w:pPr>
            <w:r w:rsidRPr="00750CA9">
              <w:t xml:space="preserve">La </w:t>
            </w:r>
            <w:proofErr w:type="spellStart"/>
            <w:r w:rsidRPr="00750CA9">
              <w:t>stigmatisation</w:t>
            </w:r>
            <w:proofErr w:type="spellEnd"/>
            <w:r w:rsidRPr="00750CA9">
              <w:t xml:space="preserve"> et la discrimination à </w:t>
            </w:r>
            <w:proofErr w:type="spellStart"/>
            <w:r w:rsidRPr="00750CA9">
              <w:t>l’endroit</w:t>
            </w:r>
            <w:proofErr w:type="spellEnd"/>
            <w:r w:rsidRPr="00750CA9">
              <w:t xml:space="preserve"> des PVVIH et des populations </w:t>
            </w:r>
            <w:proofErr w:type="spellStart"/>
            <w:r w:rsidRPr="00750CA9">
              <w:t>clés</w:t>
            </w:r>
            <w:proofErr w:type="spellEnd"/>
            <w:r w:rsidRPr="00750CA9">
              <w:t xml:space="preserve"> (40</w:t>
            </w:r>
            <w:r w:rsidRPr="00A01BF1">
              <w:t>%</w:t>
            </w:r>
            <w:r w:rsidR="00A01BF1" w:rsidRPr="00A01BF1">
              <w:t xml:space="preserve"> dans le Stigma </w:t>
            </w:r>
            <w:r w:rsidRPr="00750CA9">
              <w:t xml:space="preserve">Index </w:t>
            </w:r>
            <w:r w:rsidR="00A01BF1" w:rsidRPr="00A01BF1">
              <w:t>de</w:t>
            </w:r>
            <w:r w:rsidRPr="00750CA9">
              <w:t xml:space="preserve"> 2016) </w:t>
            </w:r>
            <w:proofErr w:type="spellStart"/>
            <w:r w:rsidRPr="00750CA9">
              <w:t>entravent</w:t>
            </w:r>
            <w:proofErr w:type="spellEnd"/>
            <w:r w:rsidRPr="00750CA9">
              <w:t xml:space="preserve"> la </w:t>
            </w:r>
            <w:proofErr w:type="spellStart"/>
            <w:r w:rsidRPr="00750CA9">
              <w:t>demande</w:t>
            </w:r>
            <w:proofErr w:type="spellEnd"/>
            <w:r w:rsidRPr="00750CA9">
              <w:t xml:space="preserve"> du </w:t>
            </w:r>
            <w:proofErr w:type="spellStart"/>
            <w:r w:rsidRPr="00750CA9">
              <w:t>dépistage</w:t>
            </w:r>
            <w:proofErr w:type="spellEnd"/>
            <w:r w:rsidRPr="00750CA9">
              <w:t xml:space="preserve"> par les populations </w:t>
            </w:r>
            <w:proofErr w:type="spellStart"/>
            <w:r w:rsidRPr="00750CA9">
              <w:t>prioritaires</w:t>
            </w:r>
            <w:proofErr w:type="spellEnd"/>
            <w:r w:rsidRPr="00750CA9">
              <w:t xml:space="preserve">. </w:t>
            </w:r>
            <w:proofErr w:type="spellStart"/>
            <w:r w:rsidRPr="00750CA9">
              <w:t>Aussi</w:t>
            </w:r>
            <w:proofErr w:type="spellEnd"/>
            <w:r w:rsidRPr="00750CA9">
              <w:t xml:space="preserve">, </w:t>
            </w:r>
            <w:proofErr w:type="spellStart"/>
            <w:r w:rsidRPr="00750CA9">
              <w:t>l’intégration</w:t>
            </w:r>
            <w:proofErr w:type="spellEnd"/>
            <w:r w:rsidRPr="00750CA9">
              <w:t xml:space="preserve"> </w:t>
            </w:r>
            <w:proofErr w:type="spellStart"/>
            <w:r w:rsidRPr="00750CA9">
              <w:t>insuffisante</w:t>
            </w:r>
            <w:proofErr w:type="spellEnd"/>
            <w:r w:rsidRPr="00750CA9">
              <w:t xml:space="preserve"> du </w:t>
            </w:r>
            <w:proofErr w:type="spellStart"/>
            <w:r w:rsidRPr="00750CA9">
              <w:t>dépistage</w:t>
            </w:r>
            <w:proofErr w:type="spellEnd"/>
            <w:r w:rsidRPr="00750CA9">
              <w:t xml:space="preserve"> dans les structures </w:t>
            </w:r>
            <w:proofErr w:type="spellStart"/>
            <w:r w:rsidRPr="00750CA9">
              <w:t>privées</w:t>
            </w:r>
            <w:proofErr w:type="spellEnd"/>
            <w:r w:rsidRPr="00750CA9">
              <w:t xml:space="preserve"> à but </w:t>
            </w:r>
            <w:proofErr w:type="spellStart"/>
            <w:r w:rsidRPr="00750CA9">
              <w:t>lucratif</w:t>
            </w:r>
            <w:proofErr w:type="spellEnd"/>
            <w:r w:rsidRPr="00750CA9">
              <w:t xml:space="preserve"> </w:t>
            </w:r>
            <w:proofErr w:type="spellStart"/>
            <w:r w:rsidRPr="00750CA9">
              <w:t>limite</w:t>
            </w:r>
            <w:proofErr w:type="spellEnd"/>
            <w:r w:rsidRPr="00750CA9">
              <w:t xml:space="preserve"> </w:t>
            </w:r>
            <w:proofErr w:type="spellStart"/>
            <w:r w:rsidRPr="00750CA9">
              <w:t>l’accès</w:t>
            </w:r>
            <w:proofErr w:type="spellEnd"/>
            <w:r w:rsidRPr="00750CA9">
              <w:t xml:space="preserve"> au </w:t>
            </w:r>
            <w:proofErr w:type="spellStart"/>
            <w:r w:rsidRPr="00750CA9">
              <w:t>dépistage</w:t>
            </w:r>
            <w:proofErr w:type="spellEnd"/>
            <w:r w:rsidRPr="00750CA9">
              <w:t xml:space="preserve"> des populations </w:t>
            </w:r>
            <w:proofErr w:type="spellStart"/>
            <w:r w:rsidRPr="00750CA9">
              <w:t>vulnérables</w:t>
            </w:r>
            <w:proofErr w:type="spellEnd"/>
            <w:r w:rsidRPr="00750CA9">
              <w:t xml:space="preserve"> </w:t>
            </w:r>
            <w:proofErr w:type="spellStart"/>
            <w:r w:rsidRPr="00750CA9">
              <w:t>fréquentant</w:t>
            </w:r>
            <w:proofErr w:type="spellEnd"/>
            <w:r w:rsidRPr="00750CA9">
              <w:t xml:space="preserve"> </w:t>
            </w:r>
            <w:proofErr w:type="spellStart"/>
            <w:r w:rsidRPr="00750CA9">
              <w:t>ces</w:t>
            </w:r>
            <w:proofErr w:type="spellEnd"/>
            <w:r w:rsidRPr="00750CA9">
              <w:t xml:space="preserve"> structures </w:t>
            </w:r>
            <w:proofErr w:type="spellStart"/>
            <w:r w:rsidRPr="00750CA9">
              <w:t>notamment</w:t>
            </w:r>
            <w:proofErr w:type="spellEnd"/>
            <w:r w:rsidRPr="00750CA9">
              <w:t xml:space="preserve"> les hommes de plus de 25 ans. La perception </w:t>
            </w:r>
            <w:proofErr w:type="spellStart"/>
            <w:r w:rsidRPr="00750CA9">
              <w:t>négative</w:t>
            </w:r>
            <w:proofErr w:type="spellEnd"/>
            <w:r w:rsidRPr="00750CA9">
              <w:t xml:space="preserve"> de </w:t>
            </w:r>
            <w:proofErr w:type="spellStart"/>
            <w:r w:rsidRPr="00750CA9">
              <w:t>l’infection</w:t>
            </w:r>
            <w:proofErr w:type="spellEnd"/>
            <w:r w:rsidRPr="00750CA9">
              <w:t xml:space="preserve"> à VIH par la population et le </w:t>
            </w:r>
            <w:proofErr w:type="spellStart"/>
            <w:r w:rsidRPr="00750CA9">
              <w:t>faible</w:t>
            </w:r>
            <w:proofErr w:type="spellEnd"/>
            <w:r w:rsidRPr="00750CA9">
              <w:t xml:space="preserve"> </w:t>
            </w:r>
            <w:proofErr w:type="spellStart"/>
            <w:r w:rsidRPr="00750CA9">
              <w:t>niveau</w:t>
            </w:r>
            <w:proofErr w:type="spellEnd"/>
            <w:r w:rsidRPr="00750CA9">
              <w:t xml:space="preserve"> de </w:t>
            </w:r>
            <w:proofErr w:type="spellStart"/>
            <w:r w:rsidRPr="00750CA9">
              <w:t>connaissance</w:t>
            </w:r>
            <w:proofErr w:type="spellEnd"/>
            <w:r w:rsidRPr="00750CA9">
              <w:t xml:space="preserve"> sur le VIH au sein de la population </w:t>
            </w:r>
            <w:proofErr w:type="spellStart"/>
            <w:r w:rsidRPr="00750CA9">
              <w:t>générale</w:t>
            </w:r>
            <w:proofErr w:type="spellEnd"/>
            <w:r w:rsidRPr="00750CA9">
              <w:t xml:space="preserve"> (21,5% pour les femmes</w:t>
            </w:r>
            <w:r w:rsidR="00557984">
              <w:t>,</w:t>
            </w:r>
            <w:r w:rsidRPr="00750CA9">
              <w:t xml:space="preserve"> </w:t>
            </w:r>
            <w:proofErr w:type="spellStart"/>
            <w:r w:rsidRPr="00750CA9">
              <w:t>contre</w:t>
            </w:r>
            <w:proofErr w:type="spellEnd"/>
            <w:r w:rsidRPr="00750CA9">
              <w:t xml:space="preserve"> 33,4% pour les hommes, MICS 2016</w:t>
            </w:r>
            <w:r w:rsidR="00557984">
              <w:t xml:space="preserve"> - </w:t>
            </w:r>
            <w:proofErr w:type="spellStart"/>
            <w:r w:rsidR="00557984" w:rsidRPr="0002374C">
              <w:rPr>
                <w:i/>
              </w:rPr>
              <w:t>Annexe</w:t>
            </w:r>
            <w:proofErr w:type="spellEnd"/>
            <w:r w:rsidR="00557984" w:rsidRPr="0002374C">
              <w:rPr>
                <w:i/>
              </w:rPr>
              <w:t xml:space="preserve"> </w:t>
            </w:r>
            <w:r w:rsidR="00557984">
              <w:rPr>
                <w:i/>
              </w:rPr>
              <w:t>30</w:t>
            </w:r>
            <w:r w:rsidR="00557984" w:rsidRPr="0002374C">
              <w:rPr>
                <w:i/>
              </w:rPr>
              <w:t>)</w:t>
            </w:r>
            <w:r w:rsidR="00557984">
              <w:rPr>
                <w:i/>
              </w:rPr>
              <w:t xml:space="preserve"> </w:t>
            </w:r>
            <w:proofErr w:type="spellStart"/>
            <w:r w:rsidRPr="00750CA9">
              <w:t>mais</w:t>
            </w:r>
            <w:proofErr w:type="spellEnd"/>
            <w:r w:rsidRPr="00750CA9">
              <w:t xml:space="preserve"> surtout chez les </w:t>
            </w:r>
            <w:proofErr w:type="spellStart"/>
            <w:r w:rsidRPr="00750CA9">
              <w:t>adolescentes</w:t>
            </w:r>
            <w:proofErr w:type="spellEnd"/>
            <w:r w:rsidRPr="00750CA9">
              <w:t xml:space="preserve"> et </w:t>
            </w:r>
            <w:proofErr w:type="spellStart"/>
            <w:r w:rsidRPr="00750CA9">
              <w:t>jeunes</w:t>
            </w:r>
            <w:proofErr w:type="spellEnd"/>
            <w:r w:rsidRPr="00750CA9">
              <w:t xml:space="preserve"> </w:t>
            </w:r>
            <w:proofErr w:type="spellStart"/>
            <w:r w:rsidRPr="00750CA9">
              <w:t>filles</w:t>
            </w:r>
            <w:proofErr w:type="spellEnd"/>
            <w:r w:rsidRPr="00750CA9">
              <w:t xml:space="preserve"> (24% chez les </w:t>
            </w:r>
            <w:proofErr w:type="spellStart"/>
            <w:r w:rsidRPr="00750CA9">
              <w:t>adolescentes</w:t>
            </w:r>
            <w:proofErr w:type="spellEnd"/>
            <w:r w:rsidRPr="00750CA9">
              <w:t xml:space="preserve"> et </w:t>
            </w:r>
            <w:proofErr w:type="spellStart"/>
            <w:r w:rsidRPr="00750CA9">
              <w:t>jeunes</w:t>
            </w:r>
            <w:proofErr w:type="spellEnd"/>
            <w:r w:rsidRPr="00750CA9">
              <w:t xml:space="preserve"> </w:t>
            </w:r>
            <w:proofErr w:type="spellStart"/>
            <w:r w:rsidRPr="00750CA9">
              <w:t>filles</w:t>
            </w:r>
            <w:proofErr w:type="spellEnd"/>
            <w:r w:rsidRPr="00750CA9">
              <w:t xml:space="preserve"> contre 33% chez les adolescents et </w:t>
            </w:r>
            <w:proofErr w:type="spellStart"/>
            <w:r w:rsidRPr="00750CA9">
              <w:t>jeunes</w:t>
            </w:r>
            <w:proofErr w:type="spellEnd"/>
            <w:r w:rsidRPr="00750CA9">
              <w:t xml:space="preserve"> garçons</w:t>
            </w:r>
            <w:r w:rsidR="00A64686" w:rsidRPr="00750CA9">
              <w:t>,</w:t>
            </w:r>
            <w:r w:rsidRPr="00750CA9">
              <w:t xml:space="preserve"> MICS 2016</w:t>
            </w:r>
            <w:r w:rsidR="00557984">
              <w:t xml:space="preserve"> -</w:t>
            </w:r>
            <w:r w:rsidR="00557984" w:rsidRPr="0002374C">
              <w:rPr>
                <w:i/>
              </w:rPr>
              <w:t xml:space="preserve"> </w:t>
            </w:r>
            <w:proofErr w:type="spellStart"/>
            <w:r w:rsidR="00557984" w:rsidRPr="0002374C">
              <w:rPr>
                <w:i/>
              </w:rPr>
              <w:t>Annexe</w:t>
            </w:r>
            <w:proofErr w:type="spellEnd"/>
            <w:r w:rsidR="00557984" w:rsidRPr="0002374C">
              <w:rPr>
                <w:i/>
              </w:rPr>
              <w:t xml:space="preserve"> </w:t>
            </w:r>
            <w:r w:rsidR="00557984">
              <w:rPr>
                <w:i/>
              </w:rPr>
              <w:t>30</w:t>
            </w:r>
            <w:r w:rsidRPr="00750CA9">
              <w:t xml:space="preserve">) </w:t>
            </w:r>
            <w:proofErr w:type="spellStart"/>
            <w:r w:rsidRPr="00750CA9">
              <w:t>limitent</w:t>
            </w:r>
            <w:proofErr w:type="spellEnd"/>
            <w:r w:rsidRPr="00750CA9">
              <w:t xml:space="preserve"> la </w:t>
            </w:r>
            <w:proofErr w:type="spellStart"/>
            <w:r w:rsidRPr="00750CA9">
              <w:t>demande</w:t>
            </w:r>
            <w:proofErr w:type="spellEnd"/>
            <w:r w:rsidRPr="00750CA9">
              <w:t xml:space="preserve"> du </w:t>
            </w:r>
            <w:proofErr w:type="spellStart"/>
            <w:r w:rsidRPr="00750CA9">
              <w:t>dépistage</w:t>
            </w:r>
            <w:proofErr w:type="spellEnd"/>
            <w:r w:rsidRPr="00750CA9">
              <w:t xml:space="preserve">. Pour </w:t>
            </w:r>
            <w:proofErr w:type="spellStart"/>
            <w:r w:rsidR="00557984">
              <w:t>surmonter</w:t>
            </w:r>
            <w:proofErr w:type="spellEnd"/>
            <w:r w:rsidRPr="00750CA9">
              <w:t xml:space="preserve"> </w:t>
            </w:r>
            <w:proofErr w:type="spellStart"/>
            <w:r w:rsidRPr="00750CA9">
              <w:t>ces</w:t>
            </w:r>
            <w:proofErr w:type="spellEnd"/>
            <w:r w:rsidRPr="00750CA9">
              <w:t xml:space="preserve"> obstacles, les actions </w:t>
            </w:r>
            <w:proofErr w:type="spellStart"/>
            <w:r w:rsidRPr="00750CA9">
              <w:t>suivantes</w:t>
            </w:r>
            <w:proofErr w:type="spellEnd"/>
            <w:r w:rsidRPr="00750CA9">
              <w:t xml:space="preserve"> </w:t>
            </w:r>
            <w:proofErr w:type="spellStart"/>
            <w:r w:rsidRPr="00750CA9">
              <w:t>seront</w:t>
            </w:r>
            <w:proofErr w:type="spellEnd"/>
            <w:r w:rsidRPr="00750CA9">
              <w:t xml:space="preserve"> </w:t>
            </w:r>
            <w:proofErr w:type="spellStart"/>
            <w:r w:rsidRPr="00750CA9">
              <w:t>entreprises</w:t>
            </w:r>
            <w:proofErr w:type="spellEnd"/>
          </w:p>
          <w:p w14:paraId="1D9BCF80" w14:textId="6C91F44C" w:rsidR="00A64686" w:rsidRDefault="00BA6152" w:rsidP="00390EA4">
            <w:pPr>
              <w:pStyle w:val="liste1"/>
            </w:pPr>
            <w:r>
              <w:lastRenderedPageBreak/>
              <w:t xml:space="preserve">des </w:t>
            </w:r>
            <w:proofErr w:type="spellStart"/>
            <w:r>
              <w:t>sensibilisations</w:t>
            </w:r>
            <w:proofErr w:type="spellEnd"/>
            <w:r>
              <w:t xml:space="preserve"> de </w:t>
            </w:r>
            <w:proofErr w:type="spellStart"/>
            <w:r>
              <w:t>proximité</w:t>
            </w:r>
            <w:proofErr w:type="spellEnd"/>
            <w:r>
              <w:t xml:space="preserve"> et des </w:t>
            </w:r>
            <w:proofErr w:type="spellStart"/>
            <w:r>
              <w:t>renforcements</w:t>
            </w:r>
            <w:proofErr w:type="spellEnd"/>
            <w:r>
              <w:t xml:space="preserve"> de </w:t>
            </w:r>
            <w:proofErr w:type="spellStart"/>
            <w:r>
              <w:t>capacité</w:t>
            </w:r>
            <w:proofErr w:type="spellEnd"/>
            <w:r>
              <w:t xml:space="preserve"> sur les droits </w:t>
            </w:r>
            <w:proofErr w:type="spellStart"/>
            <w:r>
              <w:t>humains</w:t>
            </w:r>
            <w:proofErr w:type="spellEnd"/>
            <w:r>
              <w:t xml:space="preserve">, le genre et la </w:t>
            </w:r>
            <w:proofErr w:type="spellStart"/>
            <w:r>
              <w:t>loi</w:t>
            </w:r>
            <w:proofErr w:type="spellEnd"/>
            <w:r>
              <w:t xml:space="preserve"> VIH </w:t>
            </w:r>
            <w:proofErr w:type="spellStart"/>
            <w:r>
              <w:t>cibleront</w:t>
            </w:r>
            <w:proofErr w:type="spellEnd"/>
            <w:r>
              <w:t xml:space="preserve"> les </w:t>
            </w:r>
            <w:proofErr w:type="spellStart"/>
            <w:r>
              <w:t>décideurs</w:t>
            </w:r>
            <w:proofErr w:type="spellEnd"/>
            <w:r>
              <w:t xml:space="preserve">, les </w:t>
            </w:r>
            <w:proofErr w:type="spellStart"/>
            <w:r>
              <w:t>juristes</w:t>
            </w:r>
            <w:proofErr w:type="spellEnd"/>
            <w:r>
              <w:t xml:space="preserve">, les forces de </w:t>
            </w:r>
            <w:proofErr w:type="spellStart"/>
            <w:r>
              <w:t>l’ordre</w:t>
            </w:r>
            <w:proofErr w:type="spellEnd"/>
            <w:r>
              <w:t xml:space="preserve">, les </w:t>
            </w:r>
            <w:proofErr w:type="spellStart"/>
            <w:r>
              <w:t>prestataires</w:t>
            </w:r>
            <w:proofErr w:type="spellEnd"/>
            <w:r>
              <w:t xml:space="preserve"> de santé, les adolescents et </w:t>
            </w:r>
            <w:proofErr w:type="spellStart"/>
            <w:r>
              <w:t>jeunes</w:t>
            </w:r>
            <w:proofErr w:type="spellEnd"/>
            <w:r>
              <w:t xml:space="preserve"> et la population </w:t>
            </w:r>
            <w:proofErr w:type="spellStart"/>
            <w:r>
              <w:t>générale</w:t>
            </w:r>
            <w:proofErr w:type="spellEnd"/>
          </w:p>
          <w:p w14:paraId="01385DE6" w14:textId="0F5F412B" w:rsidR="00A64686" w:rsidRDefault="00BA6152" w:rsidP="00390EA4">
            <w:pPr>
              <w:pStyle w:val="liste1"/>
            </w:pPr>
            <w:proofErr w:type="spellStart"/>
            <w:r>
              <w:t>une</w:t>
            </w:r>
            <w:proofErr w:type="spellEnd"/>
            <w:r>
              <w:t xml:space="preserve"> </w:t>
            </w:r>
            <w:proofErr w:type="spellStart"/>
            <w:r>
              <w:t>analyse</w:t>
            </w:r>
            <w:proofErr w:type="spellEnd"/>
            <w:r>
              <w:t xml:space="preserve"> </w:t>
            </w:r>
            <w:proofErr w:type="spellStart"/>
            <w:r>
              <w:t>situationnelle</w:t>
            </w:r>
            <w:proofErr w:type="spellEnd"/>
            <w:r>
              <w:t xml:space="preserve"> </w:t>
            </w:r>
            <w:proofErr w:type="spellStart"/>
            <w:r>
              <w:t>en</w:t>
            </w:r>
            <w:proofErr w:type="spellEnd"/>
            <w:r>
              <w:t xml:space="preserve"> </w:t>
            </w:r>
            <w:proofErr w:type="spellStart"/>
            <w:r>
              <w:t>vue</w:t>
            </w:r>
            <w:proofErr w:type="spellEnd"/>
            <w:r>
              <w:t xml:space="preserve"> de </w:t>
            </w:r>
            <w:proofErr w:type="spellStart"/>
            <w:r>
              <w:t>l’intégration</w:t>
            </w:r>
            <w:proofErr w:type="spellEnd"/>
            <w:r>
              <w:t xml:space="preserve"> du </w:t>
            </w:r>
            <w:proofErr w:type="spellStart"/>
            <w:r>
              <w:t>dépistage</w:t>
            </w:r>
            <w:proofErr w:type="spellEnd"/>
            <w:r>
              <w:t xml:space="preserve"> dans les structures de santé </w:t>
            </w:r>
            <w:proofErr w:type="spellStart"/>
            <w:r>
              <w:t>privées</w:t>
            </w:r>
            <w:proofErr w:type="spellEnd"/>
            <w:r>
              <w:t xml:space="preserve"> à but </w:t>
            </w:r>
            <w:proofErr w:type="spellStart"/>
            <w:r>
              <w:t>lucratif</w:t>
            </w:r>
            <w:proofErr w:type="spellEnd"/>
            <w:r>
              <w:t xml:space="preserve"> des </w:t>
            </w:r>
            <w:r w:rsidR="00557984">
              <w:t>DS</w:t>
            </w:r>
            <w:r>
              <w:t xml:space="preserve"> </w:t>
            </w:r>
            <w:proofErr w:type="spellStart"/>
            <w:r>
              <w:t>prioritaires</w:t>
            </w:r>
            <w:proofErr w:type="spellEnd"/>
          </w:p>
          <w:p w14:paraId="72655297" w14:textId="5ED31760" w:rsidR="00A64686" w:rsidRDefault="00BA6152" w:rsidP="00390EA4">
            <w:pPr>
              <w:pStyle w:val="liste1"/>
            </w:pPr>
            <w:r>
              <w:t xml:space="preserve">la mise </w:t>
            </w:r>
            <w:proofErr w:type="spellStart"/>
            <w:r>
              <w:t>en</w:t>
            </w:r>
            <w:proofErr w:type="spellEnd"/>
            <w:r>
              <w:t xml:space="preserve"> </w:t>
            </w:r>
            <w:proofErr w:type="spellStart"/>
            <w:r>
              <w:t>œuvre</w:t>
            </w:r>
            <w:proofErr w:type="spellEnd"/>
            <w:r>
              <w:t xml:space="preserve"> du plan de communication </w:t>
            </w:r>
            <w:proofErr w:type="spellStart"/>
            <w:r>
              <w:t>issu</w:t>
            </w:r>
            <w:proofErr w:type="spellEnd"/>
            <w:r>
              <w:t xml:space="preserve"> de </w:t>
            </w:r>
            <w:proofErr w:type="spellStart"/>
            <w:r>
              <w:t>l’E</w:t>
            </w:r>
            <w:r w:rsidRPr="00CC094B">
              <w:t>nqu</w:t>
            </w:r>
            <w:r>
              <w:t>ê</w:t>
            </w:r>
            <w:r w:rsidRPr="00CC094B">
              <w:t>te</w:t>
            </w:r>
            <w:proofErr w:type="spellEnd"/>
            <w:r w:rsidRPr="00CC094B">
              <w:t xml:space="preserve"> socio-</w:t>
            </w:r>
            <w:proofErr w:type="spellStart"/>
            <w:r w:rsidRPr="00CC094B">
              <w:t>anthropologique</w:t>
            </w:r>
            <w:proofErr w:type="spellEnd"/>
            <w:r w:rsidRPr="00CC094B">
              <w:t xml:space="preserve"> sur les </w:t>
            </w:r>
            <w:proofErr w:type="spellStart"/>
            <w:r w:rsidRPr="00CC094B">
              <w:t>déterminants</w:t>
            </w:r>
            <w:proofErr w:type="spellEnd"/>
            <w:r w:rsidRPr="00CC094B">
              <w:t xml:space="preserve"> de la </w:t>
            </w:r>
            <w:proofErr w:type="spellStart"/>
            <w:r w:rsidRPr="00CC094B">
              <w:t>faible</w:t>
            </w:r>
            <w:proofErr w:type="spellEnd"/>
            <w:r w:rsidRPr="00CC094B">
              <w:t xml:space="preserve"> </w:t>
            </w:r>
            <w:proofErr w:type="spellStart"/>
            <w:r w:rsidRPr="00CC094B">
              <w:t>demande</w:t>
            </w:r>
            <w:proofErr w:type="spellEnd"/>
            <w:r w:rsidRPr="00CC094B">
              <w:t xml:space="preserve"> de </w:t>
            </w:r>
            <w:proofErr w:type="spellStart"/>
            <w:r w:rsidRPr="00CC094B">
              <w:t>dépistage</w:t>
            </w:r>
            <w:proofErr w:type="spellEnd"/>
            <w:r w:rsidRPr="00CC094B">
              <w:t xml:space="preserve"> du VIH-</w:t>
            </w:r>
            <w:proofErr w:type="spellStart"/>
            <w:r w:rsidRPr="00CC094B">
              <w:t>sida</w:t>
            </w:r>
            <w:proofErr w:type="spellEnd"/>
            <w:r w:rsidRPr="00CC094B">
              <w:t xml:space="preserve"> chez les </w:t>
            </w:r>
            <w:proofErr w:type="spellStart"/>
            <w:r w:rsidRPr="00CC094B">
              <w:t>ivoiriens</w:t>
            </w:r>
            <w:proofErr w:type="spellEnd"/>
            <w:r w:rsidR="00557984">
              <w:t xml:space="preserve"> </w:t>
            </w:r>
            <w:proofErr w:type="spellStart"/>
            <w:r w:rsidR="00557984" w:rsidRPr="0002374C">
              <w:rPr>
                <w:i/>
              </w:rPr>
              <w:t>Annexe</w:t>
            </w:r>
            <w:proofErr w:type="spellEnd"/>
            <w:r w:rsidR="00557984" w:rsidRPr="0002374C">
              <w:rPr>
                <w:i/>
              </w:rPr>
              <w:t xml:space="preserve"> </w:t>
            </w:r>
            <w:r w:rsidR="00557984">
              <w:rPr>
                <w:i/>
              </w:rPr>
              <w:t>31</w:t>
            </w:r>
            <w:r w:rsidR="00557984" w:rsidRPr="0002374C">
              <w:rPr>
                <w:i/>
              </w:rPr>
              <w:t>)</w:t>
            </w:r>
            <w:r w:rsidRPr="00CC094B">
              <w:t xml:space="preserve"> </w:t>
            </w:r>
            <w:r w:rsidR="00A64686">
              <w:t>(</w:t>
            </w:r>
            <w:proofErr w:type="spellStart"/>
            <w:r>
              <w:t>en</w:t>
            </w:r>
            <w:proofErr w:type="spellEnd"/>
            <w:r>
              <w:t xml:space="preserve"> </w:t>
            </w:r>
            <w:proofErr w:type="spellStart"/>
            <w:r>
              <w:t>vue</w:t>
            </w:r>
            <w:proofErr w:type="spellEnd"/>
            <w:r>
              <w:t xml:space="preserve"> de </w:t>
            </w:r>
            <w:proofErr w:type="spellStart"/>
            <w:r>
              <w:t>présenter</w:t>
            </w:r>
            <w:proofErr w:type="spellEnd"/>
            <w:r>
              <w:t xml:space="preserve"> le VIH </w:t>
            </w:r>
            <w:proofErr w:type="spellStart"/>
            <w:r>
              <w:t>comme</w:t>
            </w:r>
            <w:proofErr w:type="spellEnd"/>
            <w:r>
              <w:t xml:space="preserve"> </w:t>
            </w:r>
            <w:proofErr w:type="spellStart"/>
            <w:r>
              <w:t>une</w:t>
            </w:r>
            <w:proofErr w:type="spellEnd"/>
            <w:r>
              <w:t xml:space="preserve"> </w:t>
            </w:r>
            <w:proofErr w:type="spellStart"/>
            <w:r>
              <w:t>maladie</w:t>
            </w:r>
            <w:proofErr w:type="spellEnd"/>
            <w:r>
              <w:t xml:space="preserve"> </w:t>
            </w:r>
            <w:proofErr w:type="spellStart"/>
            <w:r>
              <w:t>chronique</w:t>
            </w:r>
            <w:proofErr w:type="spellEnd"/>
            <w:r>
              <w:t xml:space="preserve"> ordinaire</w:t>
            </w:r>
            <w:r w:rsidR="00A64686">
              <w:t>)</w:t>
            </w:r>
          </w:p>
          <w:p w14:paraId="5BCB40FA" w14:textId="1F59D13A" w:rsidR="00E97A2E" w:rsidRPr="004E1C7A" w:rsidRDefault="00BA6152" w:rsidP="00390EA4">
            <w:pPr>
              <w:pStyle w:val="liste1"/>
            </w:pPr>
            <w:r>
              <w:t xml:space="preserve">la promotion des services </w:t>
            </w:r>
            <w:proofErr w:type="spellStart"/>
            <w:r>
              <w:t>liés</w:t>
            </w:r>
            <w:proofErr w:type="spellEnd"/>
            <w:r>
              <w:t xml:space="preserve"> au VIH et des </w:t>
            </w:r>
            <w:proofErr w:type="spellStart"/>
            <w:r>
              <w:t>avantages</w:t>
            </w:r>
            <w:proofErr w:type="spellEnd"/>
            <w:r>
              <w:t xml:space="preserve"> du </w:t>
            </w:r>
            <w:proofErr w:type="spellStart"/>
            <w:r>
              <w:t>dépistage</w:t>
            </w:r>
            <w:proofErr w:type="spellEnd"/>
            <w:r>
              <w:t xml:space="preserve"> sur les </w:t>
            </w:r>
            <w:proofErr w:type="spellStart"/>
            <w:r>
              <w:t>canaux</w:t>
            </w:r>
            <w:proofErr w:type="spellEnd"/>
            <w:r>
              <w:t xml:space="preserve"> de communication </w:t>
            </w:r>
            <w:proofErr w:type="spellStart"/>
            <w:r>
              <w:t>adaptés</w:t>
            </w:r>
            <w:proofErr w:type="spellEnd"/>
            <w:r>
              <w:t xml:space="preserve"> à </w:t>
            </w:r>
            <w:proofErr w:type="spellStart"/>
            <w:r>
              <w:t>chaque</w:t>
            </w:r>
            <w:proofErr w:type="spellEnd"/>
            <w:r>
              <w:t xml:space="preserve"> </w:t>
            </w:r>
            <w:proofErr w:type="spellStart"/>
            <w:r>
              <w:t>cible</w:t>
            </w:r>
            <w:proofErr w:type="spellEnd"/>
            <w:r>
              <w:t xml:space="preserve"> </w:t>
            </w:r>
            <w:proofErr w:type="spellStart"/>
            <w:r>
              <w:t>prioritaire</w:t>
            </w:r>
            <w:proofErr w:type="spellEnd"/>
            <w:r>
              <w:t xml:space="preserve"> du </w:t>
            </w:r>
            <w:proofErr w:type="spellStart"/>
            <w:r>
              <w:t>dépistage</w:t>
            </w:r>
            <w:proofErr w:type="spellEnd"/>
            <w:r>
              <w:t xml:space="preserve"> et des séances </w:t>
            </w:r>
            <w:proofErr w:type="spellStart"/>
            <w:r>
              <w:t>d’éducation</w:t>
            </w:r>
            <w:proofErr w:type="spellEnd"/>
            <w:r>
              <w:t xml:space="preserve"> </w:t>
            </w:r>
            <w:proofErr w:type="spellStart"/>
            <w:r>
              <w:t>seront</w:t>
            </w:r>
            <w:proofErr w:type="spellEnd"/>
            <w:r>
              <w:t xml:space="preserve"> </w:t>
            </w:r>
            <w:proofErr w:type="spellStart"/>
            <w:r>
              <w:t>conduites</w:t>
            </w:r>
            <w:proofErr w:type="spellEnd"/>
            <w:r>
              <w:t xml:space="preserve"> à </w:t>
            </w:r>
            <w:proofErr w:type="spellStart"/>
            <w:r>
              <w:t>l’endroit</w:t>
            </w:r>
            <w:proofErr w:type="spellEnd"/>
            <w:r>
              <w:t xml:space="preserve"> des populations </w:t>
            </w:r>
            <w:proofErr w:type="spellStart"/>
            <w:r>
              <w:t>prioritaires</w:t>
            </w:r>
            <w:proofErr w:type="spellEnd"/>
            <w:r>
              <w:t xml:space="preserve"> pour </w:t>
            </w:r>
            <w:proofErr w:type="spellStart"/>
            <w:r>
              <w:t>améliorer</w:t>
            </w:r>
            <w:proofErr w:type="spellEnd"/>
            <w:r>
              <w:t xml:space="preserve"> la </w:t>
            </w:r>
            <w:proofErr w:type="spellStart"/>
            <w:r>
              <w:t>connaissance</w:t>
            </w:r>
            <w:proofErr w:type="spellEnd"/>
            <w:r>
              <w:t xml:space="preserve"> sur les IST et le VIH.</w:t>
            </w:r>
          </w:p>
        </w:tc>
      </w:tr>
      <w:tr w:rsidR="00E97A2E" w:rsidRPr="00F00BB3" w14:paraId="3F3F9CAC" w14:textId="77777777" w:rsidTr="007A0F0B">
        <w:trPr>
          <w:trHeight w:val="288"/>
        </w:trPr>
        <w:tc>
          <w:tcPr>
            <w:tcW w:w="1560" w:type="dxa"/>
            <w:shd w:val="clear" w:color="auto" w:fill="F2F2F2"/>
            <w:vAlign w:val="center"/>
          </w:tcPr>
          <w:p w14:paraId="59E25E5C" w14:textId="77777777" w:rsidR="00E97A2E" w:rsidRPr="007F7A64" w:rsidRDefault="00E97A2E" w:rsidP="00E80CEF">
            <w:pPr>
              <w:spacing w:after="0"/>
              <w:rPr>
                <w:b/>
              </w:rPr>
            </w:pPr>
            <w:r>
              <w:rPr>
                <w:b/>
                <w:lang w:bidi="fr-FR"/>
              </w:rPr>
              <w:lastRenderedPageBreak/>
              <w:t>Justification</w:t>
            </w:r>
            <w:r>
              <w:rPr>
                <w:b/>
                <w:lang w:bidi="fr-FR"/>
              </w:rPr>
              <w:tab/>
            </w:r>
          </w:p>
        </w:tc>
        <w:tc>
          <w:tcPr>
            <w:tcW w:w="9240" w:type="dxa"/>
          </w:tcPr>
          <w:p w14:paraId="5C4ADE50" w14:textId="58B919D4" w:rsidR="00E97A2E" w:rsidRPr="00390EA4" w:rsidRDefault="00BA6152" w:rsidP="004E1C7A">
            <w:pPr>
              <w:pStyle w:val="Texteformulaire"/>
              <w:rPr>
                <w:lang w:val="fr-FR"/>
              </w:rPr>
            </w:pPr>
            <w:r>
              <w:rPr>
                <w:lang w:val="fr-FR"/>
              </w:rPr>
              <w:t>Les services de dépistage sont une porte d’entrée pour l’accès aux autres services de prévention et aux services de soins et traitement ARV. Cependant, en 2019, seulement 7</w:t>
            </w:r>
            <w:r w:rsidR="004D21CA">
              <w:rPr>
                <w:lang w:val="fr-FR"/>
              </w:rPr>
              <w:t>9</w:t>
            </w:r>
            <w:r>
              <w:rPr>
                <w:lang w:val="fr-FR"/>
              </w:rPr>
              <w:t>% des PVVIH connaissent leur statut et 6</w:t>
            </w:r>
            <w:r w:rsidR="004D21CA">
              <w:rPr>
                <w:lang w:val="fr-FR"/>
              </w:rPr>
              <w:t>3</w:t>
            </w:r>
            <w:r>
              <w:rPr>
                <w:lang w:val="fr-FR"/>
              </w:rPr>
              <w:t>% des PVVIH sont sous traitement ARV</w:t>
            </w:r>
            <w:r w:rsidR="004D21CA">
              <w:rPr>
                <w:lang w:val="fr-FR"/>
              </w:rPr>
              <w:t>,</w:t>
            </w:r>
            <w:r>
              <w:rPr>
                <w:lang w:val="fr-FR"/>
              </w:rPr>
              <w:t xml:space="preserve"> alors que la Côte d’Ivoire est engagée à l’atteinte des objectifs d’accélération d’ici 2025, à savoir 95-95-95. Une offre de services différenciés du dépistage à l’endroit des populations prioritaires (les plus vulnérables) avec un accent sur le dépistage communautaire intégrant l’auto dépistage et la mise à échelle de l’index-</w:t>
            </w:r>
            <w:proofErr w:type="spellStart"/>
            <w:r>
              <w:rPr>
                <w:lang w:val="fr-FR"/>
              </w:rPr>
              <w:t>testing</w:t>
            </w:r>
            <w:proofErr w:type="spellEnd"/>
            <w:r>
              <w:rPr>
                <w:lang w:val="fr-FR"/>
              </w:rPr>
              <w:t xml:space="preserve"> permettra d’atteindre cet objectif.</w:t>
            </w:r>
          </w:p>
        </w:tc>
      </w:tr>
      <w:tr w:rsidR="00E97A2E" w:rsidRPr="0037522B" w14:paraId="68C8FA15" w14:textId="77777777" w:rsidTr="007A0F0B">
        <w:trPr>
          <w:trHeight w:val="288"/>
        </w:trPr>
        <w:tc>
          <w:tcPr>
            <w:tcW w:w="1560" w:type="dxa"/>
            <w:shd w:val="clear" w:color="auto" w:fill="F2F2F2"/>
            <w:vAlign w:val="center"/>
          </w:tcPr>
          <w:p w14:paraId="066A44C2" w14:textId="77777777" w:rsidR="00E97A2E" w:rsidRPr="007F7A64" w:rsidRDefault="00E97A2E" w:rsidP="00E80CEF">
            <w:pPr>
              <w:spacing w:after="0"/>
              <w:rPr>
                <w:b/>
              </w:rPr>
            </w:pPr>
            <w:proofErr w:type="spellStart"/>
            <w:r w:rsidRPr="007F7A64">
              <w:rPr>
                <w:b/>
                <w:lang w:bidi="fr-FR"/>
              </w:rPr>
              <w:t>Résultats</w:t>
            </w:r>
            <w:proofErr w:type="spellEnd"/>
            <w:r w:rsidRPr="007F7A64">
              <w:rPr>
                <w:b/>
                <w:lang w:bidi="fr-FR"/>
              </w:rPr>
              <w:t xml:space="preserve"> </w:t>
            </w:r>
            <w:proofErr w:type="spellStart"/>
            <w:r w:rsidRPr="007F7A64">
              <w:rPr>
                <w:b/>
                <w:lang w:bidi="fr-FR"/>
              </w:rPr>
              <w:t>attendus</w:t>
            </w:r>
            <w:proofErr w:type="spellEnd"/>
          </w:p>
        </w:tc>
        <w:tc>
          <w:tcPr>
            <w:tcW w:w="9240" w:type="dxa"/>
          </w:tcPr>
          <w:p w14:paraId="3D1D969A" w14:textId="1FCACFD1" w:rsidR="00EE371E" w:rsidRDefault="00EE371E" w:rsidP="00390EA4">
            <w:pPr>
              <w:pStyle w:val="liste1"/>
            </w:pPr>
            <w:r w:rsidRPr="00CD1F00">
              <w:t>8</w:t>
            </w:r>
            <w:r w:rsidR="00F53990">
              <w:t>9</w:t>
            </w:r>
            <w:r>
              <w:t xml:space="preserve">% de PVVIH </w:t>
            </w:r>
            <w:proofErr w:type="spellStart"/>
            <w:r>
              <w:t>connaissent</w:t>
            </w:r>
            <w:proofErr w:type="spellEnd"/>
            <w:r>
              <w:t xml:space="preserve"> </w:t>
            </w:r>
            <w:proofErr w:type="spellStart"/>
            <w:r>
              <w:t>leur</w:t>
            </w:r>
            <w:proofErr w:type="spellEnd"/>
            <w:r>
              <w:t xml:space="preserve"> </w:t>
            </w:r>
            <w:proofErr w:type="spellStart"/>
            <w:r>
              <w:t>statut</w:t>
            </w:r>
            <w:proofErr w:type="spellEnd"/>
            <w:r>
              <w:t xml:space="preserve"> </w:t>
            </w:r>
            <w:proofErr w:type="spellStart"/>
            <w:r>
              <w:t>sérologique</w:t>
            </w:r>
            <w:proofErr w:type="spellEnd"/>
            <w:r>
              <w:t xml:space="preserve"> et </w:t>
            </w:r>
            <w:proofErr w:type="spellStart"/>
            <w:r>
              <w:t>sont</w:t>
            </w:r>
            <w:proofErr w:type="spellEnd"/>
            <w:r>
              <w:t xml:space="preserve"> mis </w:t>
            </w:r>
            <w:proofErr w:type="spellStart"/>
            <w:r>
              <w:t>en</w:t>
            </w:r>
            <w:proofErr w:type="spellEnd"/>
            <w:r>
              <w:t xml:space="preserve"> lien avec les services de </w:t>
            </w:r>
            <w:proofErr w:type="spellStart"/>
            <w:r>
              <w:t>soins</w:t>
            </w:r>
            <w:proofErr w:type="spellEnd"/>
            <w:r>
              <w:t xml:space="preserve"> et </w:t>
            </w:r>
            <w:proofErr w:type="spellStart"/>
            <w:r>
              <w:t>traitement</w:t>
            </w:r>
            <w:proofErr w:type="spellEnd"/>
            <w:r>
              <w:t xml:space="preserve"> ARV</w:t>
            </w:r>
          </w:p>
          <w:p w14:paraId="2D723B6D" w14:textId="77777777" w:rsidR="00EE371E" w:rsidRDefault="00EE371E" w:rsidP="00390EA4">
            <w:pPr>
              <w:pStyle w:val="liste1"/>
            </w:pPr>
            <w:r>
              <w:t xml:space="preserve">Des services </w:t>
            </w:r>
            <w:proofErr w:type="spellStart"/>
            <w:r>
              <w:t>différenciés</w:t>
            </w:r>
            <w:proofErr w:type="spellEnd"/>
            <w:r>
              <w:t xml:space="preserve"> de </w:t>
            </w:r>
            <w:proofErr w:type="spellStart"/>
            <w:r>
              <w:t>dépistage</w:t>
            </w:r>
            <w:proofErr w:type="spellEnd"/>
            <w:r>
              <w:t xml:space="preserve"> de </w:t>
            </w:r>
            <w:proofErr w:type="spellStart"/>
            <w:r>
              <w:t>qualité</w:t>
            </w:r>
            <w:proofErr w:type="spellEnd"/>
            <w:r>
              <w:t xml:space="preserve"> </w:t>
            </w:r>
            <w:proofErr w:type="spellStart"/>
            <w:r>
              <w:t>sont</w:t>
            </w:r>
            <w:proofErr w:type="spellEnd"/>
            <w:r>
              <w:t xml:space="preserve"> </w:t>
            </w:r>
            <w:proofErr w:type="spellStart"/>
            <w:r>
              <w:t>disponibles</w:t>
            </w:r>
            <w:proofErr w:type="spellEnd"/>
            <w:r>
              <w:t xml:space="preserve"> dans </w:t>
            </w:r>
            <w:proofErr w:type="spellStart"/>
            <w:r>
              <w:t>tous</w:t>
            </w:r>
            <w:proofErr w:type="spellEnd"/>
            <w:r>
              <w:t xml:space="preserve"> les </w:t>
            </w:r>
            <w:proofErr w:type="spellStart"/>
            <w:r>
              <w:t>centres</w:t>
            </w:r>
            <w:proofErr w:type="spellEnd"/>
            <w:r>
              <w:t xml:space="preserve"> de santé publics, dans les </w:t>
            </w:r>
            <w:proofErr w:type="spellStart"/>
            <w:r>
              <w:t>centres</w:t>
            </w:r>
            <w:proofErr w:type="spellEnd"/>
            <w:r>
              <w:t xml:space="preserve"> de santé </w:t>
            </w:r>
            <w:proofErr w:type="spellStart"/>
            <w:r>
              <w:t>privés</w:t>
            </w:r>
            <w:proofErr w:type="spellEnd"/>
            <w:r>
              <w:t xml:space="preserve"> à but </w:t>
            </w:r>
            <w:proofErr w:type="spellStart"/>
            <w:r>
              <w:t>lucratif</w:t>
            </w:r>
            <w:proofErr w:type="spellEnd"/>
            <w:r>
              <w:t xml:space="preserve"> à </w:t>
            </w:r>
            <w:proofErr w:type="spellStart"/>
            <w:r>
              <w:t>haut</w:t>
            </w:r>
            <w:proofErr w:type="spellEnd"/>
            <w:r>
              <w:t xml:space="preserve"> volume des districts </w:t>
            </w:r>
            <w:proofErr w:type="spellStart"/>
            <w:r>
              <w:t>prioritaires</w:t>
            </w:r>
            <w:proofErr w:type="spellEnd"/>
          </w:p>
          <w:p w14:paraId="35DC8AE3" w14:textId="49495616" w:rsidR="00E97A2E" w:rsidRPr="00EE371E" w:rsidRDefault="00EE371E" w:rsidP="00390EA4">
            <w:pPr>
              <w:pStyle w:val="liste1"/>
            </w:pPr>
            <w:r>
              <w:t xml:space="preserve"> </w:t>
            </w:r>
            <w:r w:rsidRPr="00EE371E">
              <w:t xml:space="preserve">Le </w:t>
            </w:r>
            <w:proofErr w:type="spellStart"/>
            <w:r w:rsidRPr="00EE371E">
              <w:t>dépistage</w:t>
            </w:r>
            <w:proofErr w:type="spellEnd"/>
            <w:r w:rsidRPr="00EE371E">
              <w:t xml:space="preserve"> </w:t>
            </w:r>
            <w:proofErr w:type="spellStart"/>
            <w:r w:rsidRPr="00EE371E">
              <w:t>communautaire</w:t>
            </w:r>
            <w:proofErr w:type="spellEnd"/>
            <w:r w:rsidRPr="00EE371E">
              <w:t xml:space="preserve"> </w:t>
            </w:r>
            <w:proofErr w:type="spellStart"/>
            <w:r w:rsidRPr="00EE371E">
              <w:t>contribue</w:t>
            </w:r>
            <w:proofErr w:type="spellEnd"/>
            <w:r w:rsidRPr="00EE371E">
              <w:t xml:space="preserve"> à au </w:t>
            </w:r>
            <w:proofErr w:type="spellStart"/>
            <w:r w:rsidRPr="00EE371E">
              <w:t>moins</w:t>
            </w:r>
            <w:proofErr w:type="spellEnd"/>
            <w:r w:rsidRPr="00EE371E">
              <w:t xml:space="preserve"> 30% des PVVIH </w:t>
            </w:r>
            <w:proofErr w:type="spellStart"/>
            <w:r w:rsidRPr="00EE371E">
              <w:t>nouvellement</w:t>
            </w:r>
            <w:proofErr w:type="spellEnd"/>
            <w:r w:rsidRPr="00EE371E">
              <w:t xml:space="preserve"> </w:t>
            </w:r>
            <w:proofErr w:type="spellStart"/>
            <w:r w:rsidRPr="00EE371E">
              <w:t>diagnostiquées</w:t>
            </w:r>
            <w:proofErr w:type="spellEnd"/>
          </w:p>
        </w:tc>
      </w:tr>
      <w:tr w:rsidR="00E97A2E" w:rsidRPr="007F7A64" w14:paraId="40E32C4C" w14:textId="77777777" w:rsidTr="007A0F0B">
        <w:trPr>
          <w:trHeight w:val="288"/>
        </w:trPr>
        <w:tc>
          <w:tcPr>
            <w:tcW w:w="1560" w:type="dxa"/>
            <w:shd w:val="clear" w:color="auto" w:fill="F2F2F2"/>
            <w:vAlign w:val="center"/>
          </w:tcPr>
          <w:p w14:paraId="012EECBF" w14:textId="77777777" w:rsidR="00E97A2E" w:rsidRPr="00C44844" w:rsidRDefault="00E97A2E" w:rsidP="00E80CEF">
            <w:pPr>
              <w:spacing w:after="0"/>
              <w:rPr>
                <w:b/>
              </w:rPr>
            </w:pPr>
            <w:proofErr w:type="spellStart"/>
            <w:r w:rsidRPr="007F7A64">
              <w:rPr>
                <w:b/>
                <w:lang w:bidi="fr-FR"/>
              </w:rPr>
              <w:t>Investissement</w:t>
            </w:r>
            <w:proofErr w:type="spellEnd"/>
            <w:r w:rsidRPr="007F7A64">
              <w:rPr>
                <w:b/>
                <w:lang w:bidi="fr-FR"/>
              </w:rPr>
              <w:t xml:space="preserve"> </w:t>
            </w:r>
            <w:proofErr w:type="spellStart"/>
            <w:r w:rsidRPr="007F7A64">
              <w:rPr>
                <w:b/>
                <w:lang w:bidi="fr-FR"/>
              </w:rPr>
              <w:t>attendu</w:t>
            </w:r>
            <w:proofErr w:type="spellEnd"/>
          </w:p>
        </w:tc>
        <w:tc>
          <w:tcPr>
            <w:tcW w:w="9240" w:type="dxa"/>
          </w:tcPr>
          <w:p w14:paraId="003D0B32" w14:textId="3E51CEA0" w:rsidR="00E97A2E" w:rsidRPr="00EF66DC" w:rsidRDefault="00EF66DC" w:rsidP="00EF66DC">
            <w:pPr>
              <w:pStyle w:val="Texteformulaire"/>
              <w:rPr>
                <w:rFonts w:eastAsia="Times New Roman"/>
              </w:rPr>
            </w:pPr>
            <w:r w:rsidRPr="002D0EC2">
              <w:rPr>
                <w:b/>
                <w:bCs/>
                <w:color w:val="FF0000"/>
              </w:rPr>
              <w:t xml:space="preserve">1 </w:t>
            </w:r>
            <w:r w:rsidR="0044115C" w:rsidRPr="002D0EC2">
              <w:rPr>
                <w:b/>
                <w:bCs/>
                <w:color w:val="FF0000"/>
              </w:rPr>
              <w:t>739</w:t>
            </w:r>
            <w:r w:rsidRPr="002D0EC2">
              <w:rPr>
                <w:b/>
                <w:bCs/>
                <w:color w:val="FF0000"/>
              </w:rPr>
              <w:t> </w:t>
            </w:r>
            <w:r w:rsidR="0044115C" w:rsidRPr="002D0EC2">
              <w:rPr>
                <w:b/>
                <w:bCs/>
                <w:color w:val="FF0000"/>
              </w:rPr>
              <w:t>458</w:t>
            </w:r>
            <w:r w:rsidRPr="002D0EC2">
              <w:rPr>
                <w:b/>
                <w:bCs/>
                <w:color w:val="FF0000"/>
              </w:rPr>
              <w:t xml:space="preserve"> euros (</w:t>
            </w:r>
            <w:proofErr w:type="spellStart"/>
            <w:r w:rsidRPr="002D0EC2">
              <w:rPr>
                <w:b/>
                <w:bCs/>
                <w:color w:val="FF0000"/>
              </w:rPr>
              <w:t>soit</w:t>
            </w:r>
            <w:proofErr w:type="spellEnd"/>
            <w:r w:rsidRPr="002D0EC2">
              <w:rPr>
                <w:b/>
                <w:bCs/>
                <w:color w:val="FF0000"/>
              </w:rPr>
              <w:t xml:space="preserve"> 2%)</w:t>
            </w:r>
          </w:p>
        </w:tc>
      </w:tr>
    </w:tbl>
    <w:p w14:paraId="271FE10A" w14:textId="77777777" w:rsidR="004E4290" w:rsidRPr="00E80CEF" w:rsidRDefault="004E4290" w:rsidP="009B6C0D">
      <w:pPr>
        <w:spacing w:after="0"/>
        <w:rPr>
          <w:i/>
          <w:sz w:val="16"/>
        </w:rPr>
      </w:pPr>
    </w:p>
    <w:tbl>
      <w:tblPr>
        <w:tblStyle w:val="TableGrid30"/>
        <w:tblW w:w="10800" w:type="dxa"/>
        <w:tblInd w:w="-5" w:type="dxa"/>
        <w:tblLook w:val="04A0" w:firstRow="1" w:lastRow="0" w:firstColumn="1" w:lastColumn="0" w:noHBand="0" w:noVBand="1"/>
      </w:tblPr>
      <w:tblGrid>
        <w:gridCol w:w="1662"/>
        <w:gridCol w:w="9138"/>
      </w:tblGrid>
      <w:tr w:rsidR="004E4290" w:rsidRPr="00390EA4" w14:paraId="63DB8953" w14:textId="77777777" w:rsidTr="00390EA4">
        <w:trPr>
          <w:trHeight w:val="422"/>
        </w:trPr>
        <w:tc>
          <w:tcPr>
            <w:tcW w:w="1662" w:type="dxa"/>
            <w:shd w:val="clear" w:color="auto" w:fill="F2F2F2"/>
            <w:vAlign w:val="center"/>
          </w:tcPr>
          <w:p w14:paraId="0D08F129" w14:textId="77777777" w:rsidR="004E4290" w:rsidRPr="00390EA4" w:rsidRDefault="004E4290">
            <w:pPr>
              <w:spacing w:after="0"/>
              <w:rPr>
                <w:b/>
                <w:sz w:val="22"/>
                <w:szCs w:val="22"/>
              </w:rPr>
            </w:pPr>
            <w:proofErr w:type="gramStart"/>
            <w:r w:rsidRPr="00390EA4">
              <w:rPr>
                <w:b/>
                <w:sz w:val="22"/>
                <w:szCs w:val="22"/>
                <w:lang w:bidi="fr-FR"/>
              </w:rPr>
              <w:t>N</w:t>
            </w:r>
            <w:r w:rsidRPr="00390EA4">
              <w:rPr>
                <w:b/>
                <w:sz w:val="22"/>
                <w:szCs w:val="22"/>
                <w:vertAlign w:val="superscript"/>
                <w:lang w:bidi="fr-FR"/>
              </w:rPr>
              <w:t>o</w:t>
            </w:r>
            <w:proofErr w:type="gramEnd"/>
            <w:r w:rsidRPr="00390EA4">
              <w:rPr>
                <w:b/>
                <w:sz w:val="22"/>
                <w:szCs w:val="22"/>
                <w:lang w:bidi="fr-FR"/>
              </w:rPr>
              <w:t xml:space="preserve"> de module</w:t>
            </w:r>
          </w:p>
        </w:tc>
        <w:tc>
          <w:tcPr>
            <w:tcW w:w="9138" w:type="dxa"/>
            <w:vAlign w:val="center"/>
          </w:tcPr>
          <w:p w14:paraId="2B187209" w14:textId="508EFC27" w:rsidR="004E4290" w:rsidRPr="00390EA4" w:rsidRDefault="00D15EE6" w:rsidP="00FC6510">
            <w:pPr>
              <w:spacing w:after="0"/>
              <w:rPr>
                <w:b/>
                <w:sz w:val="22"/>
                <w:szCs w:val="22"/>
              </w:rPr>
            </w:pPr>
            <w:r w:rsidRPr="00750CA9">
              <w:rPr>
                <w:b/>
                <w:sz w:val="22"/>
                <w:lang w:val="fr-FR"/>
              </w:rPr>
              <w:t>Module 4</w:t>
            </w:r>
            <w:r w:rsidR="00A01BF1">
              <w:rPr>
                <w:b/>
                <w:sz w:val="22"/>
                <w:szCs w:val="22"/>
              </w:rPr>
              <w:t xml:space="preserve"> </w:t>
            </w:r>
            <w:r w:rsidRPr="00750CA9">
              <w:rPr>
                <w:b/>
                <w:sz w:val="22"/>
                <w:lang w:val="fr-FR"/>
              </w:rPr>
              <w:t xml:space="preserve">: </w:t>
            </w:r>
            <w:bookmarkStart w:id="18" w:name="_Hlk40769116"/>
            <w:r w:rsidRPr="00750CA9">
              <w:rPr>
                <w:b/>
                <w:sz w:val="22"/>
                <w:lang w:val="fr-FR"/>
              </w:rPr>
              <w:t>Traitement</w:t>
            </w:r>
            <w:r w:rsidR="00FC6DD3" w:rsidRPr="00750CA9">
              <w:rPr>
                <w:b/>
                <w:sz w:val="22"/>
                <w:lang w:val="fr-FR"/>
              </w:rPr>
              <w:t>,</w:t>
            </w:r>
            <w:r w:rsidRPr="00750CA9">
              <w:rPr>
                <w:b/>
                <w:sz w:val="22"/>
                <w:lang w:val="fr-FR"/>
              </w:rPr>
              <w:t xml:space="preserve"> prise en charge et soutien</w:t>
            </w:r>
            <w:bookmarkEnd w:id="18"/>
          </w:p>
        </w:tc>
      </w:tr>
      <w:tr w:rsidR="004E4290" w:rsidRPr="0037522B" w14:paraId="439677B1" w14:textId="77777777" w:rsidTr="00390EA4">
        <w:trPr>
          <w:trHeight w:val="288"/>
        </w:trPr>
        <w:tc>
          <w:tcPr>
            <w:tcW w:w="1662" w:type="dxa"/>
            <w:shd w:val="clear" w:color="auto" w:fill="F2F2F2"/>
            <w:vAlign w:val="center"/>
          </w:tcPr>
          <w:p w14:paraId="78302EFC" w14:textId="77777777" w:rsidR="004E4290" w:rsidRPr="007F7A64" w:rsidRDefault="004E4290" w:rsidP="00E80CEF">
            <w:pPr>
              <w:spacing w:after="0"/>
              <w:rPr>
                <w:b/>
              </w:rPr>
            </w:pPr>
            <w:proofErr w:type="spellStart"/>
            <w:r w:rsidRPr="007F7A64">
              <w:rPr>
                <w:b/>
                <w:lang w:bidi="fr-FR"/>
              </w:rPr>
              <w:t>Principales</w:t>
            </w:r>
            <w:proofErr w:type="spellEnd"/>
            <w:r w:rsidRPr="007F7A64">
              <w:rPr>
                <w:b/>
                <w:lang w:bidi="fr-FR"/>
              </w:rPr>
              <w:t xml:space="preserve"> interventions et </w:t>
            </w:r>
            <w:proofErr w:type="spellStart"/>
            <w:r w:rsidRPr="007F7A64">
              <w:rPr>
                <w:b/>
                <w:lang w:bidi="fr-FR"/>
              </w:rPr>
              <w:t>activités</w:t>
            </w:r>
            <w:proofErr w:type="spellEnd"/>
          </w:p>
        </w:tc>
        <w:tc>
          <w:tcPr>
            <w:tcW w:w="9138" w:type="dxa"/>
          </w:tcPr>
          <w:p w14:paraId="6BDCE54E" w14:textId="2E000219" w:rsidR="00A01BF1" w:rsidRDefault="00BE7A05" w:rsidP="00EE1AAE">
            <w:pPr>
              <w:pStyle w:val="Texteformulaire"/>
            </w:pPr>
            <w:r>
              <w:t xml:space="preserve">Les </w:t>
            </w:r>
            <w:proofErr w:type="spellStart"/>
            <w:r>
              <w:t>objectifs</w:t>
            </w:r>
            <w:proofErr w:type="spellEnd"/>
            <w:r>
              <w:t xml:space="preserve"> de </w:t>
            </w:r>
            <w:proofErr w:type="spellStart"/>
            <w:r>
              <w:t>réduction</w:t>
            </w:r>
            <w:proofErr w:type="spellEnd"/>
            <w:r>
              <w:t xml:space="preserve"> des </w:t>
            </w:r>
            <w:proofErr w:type="spellStart"/>
            <w:r>
              <w:t>nouvelles</w:t>
            </w:r>
            <w:proofErr w:type="spellEnd"/>
            <w:r>
              <w:t xml:space="preserve"> infections et de la </w:t>
            </w:r>
            <w:proofErr w:type="spellStart"/>
            <w:r>
              <w:t>mortalité</w:t>
            </w:r>
            <w:proofErr w:type="spellEnd"/>
            <w:r>
              <w:t xml:space="preserve"> </w:t>
            </w:r>
            <w:proofErr w:type="spellStart"/>
            <w:r>
              <w:t>liée</w:t>
            </w:r>
            <w:proofErr w:type="spellEnd"/>
            <w:r>
              <w:t xml:space="preserve"> au VIH </w:t>
            </w:r>
            <w:proofErr w:type="spellStart"/>
            <w:r>
              <w:t>selon</w:t>
            </w:r>
            <w:proofErr w:type="spellEnd"/>
            <w:r>
              <w:t xml:space="preserve"> le </w:t>
            </w:r>
            <w:proofErr w:type="spellStart"/>
            <w:r>
              <w:t>scénario</w:t>
            </w:r>
            <w:proofErr w:type="spellEnd"/>
            <w:r>
              <w:t xml:space="preserve"> fast track </w:t>
            </w:r>
            <w:r w:rsidR="00D0249A">
              <w:t xml:space="preserve">de la </w:t>
            </w:r>
            <w:proofErr w:type="spellStart"/>
            <w:r w:rsidR="00D0249A">
              <w:t>modélisation</w:t>
            </w:r>
            <w:proofErr w:type="spellEnd"/>
            <w:r w:rsidR="00D0249A">
              <w:t xml:space="preserve"> GOALS </w:t>
            </w:r>
            <w:proofErr w:type="spellStart"/>
            <w:r w:rsidR="00D0249A">
              <w:t>nécessitent</w:t>
            </w:r>
            <w:proofErr w:type="spellEnd"/>
            <w:r w:rsidR="00D0249A">
              <w:t xml:space="preserve"> </w:t>
            </w:r>
            <w:proofErr w:type="spellStart"/>
            <w:r w:rsidR="00D0249A">
              <w:t>d’atteindre</w:t>
            </w:r>
            <w:proofErr w:type="spellEnd"/>
            <w:r w:rsidR="00D0249A">
              <w:t xml:space="preserve"> </w:t>
            </w:r>
            <w:proofErr w:type="spellStart"/>
            <w:r w:rsidR="00D0249A">
              <w:t>une</w:t>
            </w:r>
            <w:proofErr w:type="spellEnd"/>
            <w:r w:rsidR="00D0249A">
              <w:t xml:space="preserve"> couverture </w:t>
            </w:r>
            <w:proofErr w:type="spellStart"/>
            <w:r w:rsidR="00D0249A">
              <w:t>en</w:t>
            </w:r>
            <w:proofErr w:type="spellEnd"/>
            <w:r w:rsidR="00D0249A">
              <w:t xml:space="preserve"> ARV de 90,25% pour les PVVIH </w:t>
            </w:r>
            <w:proofErr w:type="spellStart"/>
            <w:r w:rsidR="00D0249A">
              <w:t>adultes</w:t>
            </w:r>
            <w:proofErr w:type="spellEnd"/>
            <w:r w:rsidR="00D0249A">
              <w:t xml:space="preserve"> et 95% des PVVIH enfants </w:t>
            </w:r>
            <w:proofErr w:type="spellStart"/>
            <w:r w:rsidR="00D0249A">
              <w:t>en</w:t>
            </w:r>
            <w:proofErr w:type="spellEnd"/>
            <w:r w:rsidR="00D0249A">
              <w:t xml:space="preserve"> 2025</w:t>
            </w:r>
            <w:r w:rsidR="00557984">
              <w:t xml:space="preserve"> (</w:t>
            </w:r>
            <w:proofErr w:type="spellStart"/>
            <w:r w:rsidR="00557984" w:rsidRPr="0002374C">
              <w:rPr>
                <w:i/>
              </w:rPr>
              <w:t>Annexe</w:t>
            </w:r>
            <w:proofErr w:type="spellEnd"/>
            <w:r w:rsidR="00557984" w:rsidRPr="0002374C">
              <w:rPr>
                <w:i/>
              </w:rPr>
              <w:t xml:space="preserve"> </w:t>
            </w:r>
            <w:r w:rsidR="00557984">
              <w:rPr>
                <w:i/>
              </w:rPr>
              <w:t>23</w:t>
            </w:r>
            <w:r w:rsidR="00557984" w:rsidRPr="0002374C">
              <w:rPr>
                <w:i/>
              </w:rPr>
              <w:t>)</w:t>
            </w:r>
            <w:r w:rsidR="00D0249A">
              <w:t xml:space="preserve">. La file active de patients </w:t>
            </w:r>
            <w:proofErr w:type="spellStart"/>
            <w:r w:rsidR="00D0249A">
              <w:t>traités</w:t>
            </w:r>
            <w:proofErr w:type="spellEnd"/>
            <w:r w:rsidR="00D0249A">
              <w:t xml:space="preserve"> par ARV </w:t>
            </w:r>
            <w:proofErr w:type="spellStart"/>
            <w:r w:rsidR="00D0249A">
              <w:t>projetée</w:t>
            </w:r>
            <w:proofErr w:type="spellEnd"/>
            <w:r w:rsidR="00D0249A">
              <w:t xml:space="preserve"> sur la base des estimations Spectrum </w:t>
            </w:r>
            <w:proofErr w:type="spellStart"/>
            <w:r w:rsidR="00D0249A">
              <w:t>est</w:t>
            </w:r>
            <w:proofErr w:type="spellEnd"/>
            <w:r w:rsidR="00D0249A">
              <w:t xml:space="preserve"> de </w:t>
            </w:r>
            <w:r w:rsidR="00D0249A" w:rsidRPr="00D0249A">
              <w:t>285</w:t>
            </w:r>
            <w:r w:rsidR="00D0249A">
              <w:t> </w:t>
            </w:r>
            <w:r w:rsidR="00D0249A" w:rsidRPr="00D0249A">
              <w:t>962</w:t>
            </w:r>
            <w:r w:rsidR="00D0249A">
              <w:t xml:space="preserve"> </w:t>
            </w:r>
            <w:proofErr w:type="spellStart"/>
            <w:r w:rsidR="00D0249A">
              <w:t>en</w:t>
            </w:r>
            <w:proofErr w:type="spellEnd"/>
            <w:r w:rsidR="00D0249A">
              <w:t xml:space="preserve"> 2020, </w:t>
            </w:r>
            <w:r w:rsidR="00D0249A" w:rsidRPr="00D0249A">
              <w:t>302</w:t>
            </w:r>
            <w:r w:rsidR="00D0249A">
              <w:t> </w:t>
            </w:r>
            <w:r w:rsidR="00D0249A" w:rsidRPr="00D0249A">
              <w:t>169</w:t>
            </w:r>
            <w:r w:rsidR="00D0249A">
              <w:t xml:space="preserve"> </w:t>
            </w:r>
            <w:proofErr w:type="spellStart"/>
            <w:r w:rsidR="00D0249A">
              <w:t>en</w:t>
            </w:r>
            <w:proofErr w:type="spellEnd"/>
            <w:r w:rsidR="00D0249A">
              <w:t xml:space="preserve"> 2021, </w:t>
            </w:r>
            <w:r w:rsidR="00D0249A" w:rsidRPr="00D0249A">
              <w:t>317</w:t>
            </w:r>
            <w:r w:rsidR="00D0249A">
              <w:t> </w:t>
            </w:r>
            <w:r w:rsidR="00D0249A" w:rsidRPr="00D0249A">
              <w:t>226</w:t>
            </w:r>
            <w:r w:rsidR="00D0249A">
              <w:t xml:space="preserve"> </w:t>
            </w:r>
            <w:proofErr w:type="spellStart"/>
            <w:r w:rsidR="00D0249A">
              <w:t>en</w:t>
            </w:r>
            <w:proofErr w:type="spellEnd"/>
            <w:r w:rsidR="00D0249A">
              <w:t xml:space="preserve"> 2022 et </w:t>
            </w:r>
            <w:r w:rsidR="00D0249A" w:rsidRPr="00D0249A">
              <w:t>331</w:t>
            </w:r>
            <w:r w:rsidR="00D0249A">
              <w:t> </w:t>
            </w:r>
            <w:r w:rsidR="00D0249A" w:rsidRPr="00D0249A">
              <w:t>166</w:t>
            </w:r>
            <w:r w:rsidR="00D0249A">
              <w:t xml:space="preserve"> </w:t>
            </w:r>
            <w:proofErr w:type="spellStart"/>
            <w:r w:rsidR="00D0249A">
              <w:t>en</w:t>
            </w:r>
            <w:proofErr w:type="spellEnd"/>
            <w:r w:rsidR="00D0249A">
              <w:t xml:space="preserve"> 2023. Ce qui </w:t>
            </w:r>
            <w:proofErr w:type="spellStart"/>
            <w:r w:rsidR="00D0249A">
              <w:t>nécessitera</w:t>
            </w:r>
            <w:proofErr w:type="spellEnd"/>
            <w:r w:rsidR="00D0249A">
              <w:t xml:space="preserve"> des </w:t>
            </w:r>
            <w:proofErr w:type="spellStart"/>
            <w:r w:rsidR="00D0249A">
              <w:t>nouvelles</w:t>
            </w:r>
            <w:proofErr w:type="spellEnd"/>
            <w:r w:rsidR="00D0249A">
              <w:t xml:space="preserve"> inclusions dans le </w:t>
            </w:r>
            <w:proofErr w:type="spellStart"/>
            <w:r w:rsidR="00D0249A">
              <w:t>traitement</w:t>
            </w:r>
            <w:proofErr w:type="spellEnd"/>
            <w:r w:rsidR="00D0249A">
              <w:t xml:space="preserve"> ARV de </w:t>
            </w:r>
            <w:r w:rsidR="00D0249A" w:rsidRPr="00D0249A">
              <w:t>35</w:t>
            </w:r>
            <w:r w:rsidR="00D0249A">
              <w:t> </w:t>
            </w:r>
            <w:r w:rsidR="00D0249A" w:rsidRPr="00D0249A">
              <w:t>977</w:t>
            </w:r>
            <w:r w:rsidR="00D0249A">
              <w:t xml:space="preserve"> </w:t>
            </w:r>
            <w:proofErr w:type="spellStart"/>
            <w:r w:rsidR="00EE1AAE">
              <w:t>nouvelles</w:t>
            </w:r>
            <w:proofErr w:type="spellEnd"/>
            <w:r w:rsidR="00EE1AAE">
              <w:t xml:space="preserve"> PVVIH </w:t>
            </w:r>
            <w:proofErr w:type="spellStart"/>
            <w:r w:rsidR="00EE1AAE">
              <w:t>en</w:t>
            </w:r>
            <w:proofErr w:type="spellEnd"/>
            <w:r w:rsidR="00EE1AAE">
              <w:t xml:space="preserve"> 2020, </w:t>
            </w:r>
            <w:r w:rsidR="00D0249A" w:rsidRPr="00D0249A">
              <w:t>28</w:t>
            </w:r>
            <w:r w:rsidR="00EE1AAE">
              <w:t> </w:t>
            </w:r>
            <w:r w:rsidR="00D0249A" w:rsidRPr="00D0249A">
              <w:t>689</w:t>
            </w:r>
            <w:r w:rsidR="00EE1AAE">
              <w:t xml:space="preserve"> </w:t>
            </w:r>
            <w:proofErr w:type="spellStart"/>
            <w:r w:rsidR="00EE1AAE">
              <w:t>en</w:t>
            </w:r>
            <w:proofErr w:type="spellEnd"/>
            <w:r w:rsidR="00EE1AAE">
              <w:t xml:space="preserve"> 2021, </w:t>
            </w:r>
            <w:r w:rsidR="00D0249A" w:rsidRPr="00D0249A">
              <w:t>20</w:t>
            </w:r>
            <w:r w:rsidR="00EE1AAE">
              <w:t> </w:t>
            </w:r>
            <w:r w:rsidR="00D0249A" w:rsidRPr="00D0249A">
              <w:t>480</w:t>
            </w:r>
            <w:r w:rsidR="00EE1AAE">
              <w:t xml:space="preserve"> </w:t>
            </w:r>
            <w:proofErr w:type="spellStart"/>
            <w:r w:rsidR="00EE1AAE">
              <w:t>en</w:t>
            </w:r>
            <w:proofErr w:type="spellEnd"/>
            <w:r w:rsidR="00EE1AAE">
              <w:t xml:space="preserve"> 2022 et </w:t>
            </w:r>
            <w:r w:rsidR="00D0249A" w:rsidRPr="00D0249A">
              <w:t>15</w:t>
            </w:r>
            <w:r w:rsidR="00EE1AAE">
              <w:t> </w:t>
            </w:r>
            <w:r w:rsidR="00D0249A" w:rsidRPr="00D0249A">
              <w:t>413</w:t>
            </w:r>
            <w:r w:rsidR="00EE1AAE">
              <w:t xml:space="preserve"> </w:t>
            </w:r>
            <w:proofErr w:type="spellStart"/>
            <w:r w:rsidR="00EE1AAE">
              <w:t>en</w:t>
            </w:r>
            <w:proofErr w:type="spellEnd"/>
            <w:r w:rsidR="00EE1AAE">
              <w:t xml:space="preserve"> 2023. Le </w:t>
            </w:r>
            <w:proofErr w:type="spellStart"/>
            <w:r w:rsidR="00EE1AAE">
              <w:t>rythme</w:t>
            </w:r>
            <w:proofErr w:type="spellEnd"/>
            <w:r w:rsidR="00EE1AAE">
              <w:t xml:space="preserve"> </w:t>
            </w:r>
            <w:proofErr w:type="spellStart"/>
            <w:r w:rsidR="00EE1AAE">
              <w:t>d’inclusion</w:t>
            </w:r>
            <w:proofErr w:type="spellEnd"/>
            <w:r w:rsidR="00EE1AAE">
              <w:t xml:space="preserve"> </w:t>
            </w:r>
            <w:proofErr w:type="spellStart"/>
            <w:r w:rsidR="00EE1AAE">
              <w:t>baisse</w:t>
            </w:r>
            <w:proofErr w:type="spellEnd"/>
            <w:r w:rsidR="00EE1AAE">
              <w:t xml:space="preserve"> </w:t>
            </w:r>
            <w:proofErr w:type="spellStart"/>
            <w:r w:rsidR="00EE1AAE">
              <w:t>logiquement</w:t>
            </w:r>
            <w:proofErr w:type="spellEnd"/>
            <w:r w:rsidR="00EE1AAE">
              <w:t xml:space="preserve"> au </w:t>
            </w:r>
            <w:proofErr w:type="spellStart"/>
            <w:r w:rsidR="00EE1AAE">
              <w:t>cours</w:t>
            </w:r>
            <w:proofErr w:type="spellEnd"/>
            <w:r w:rsidR="00EE1AAE">
              <w:t xml:space="preserve"> du temps, du fait de : (</w:t>
            </w:r>
            <w:proofErr w:type="spellStart"/>
            <w:r w:rsidR="00EE1AAE">
              <w:t>i</w:t>
            </w:r>
            <w:proofErr w:type="spellEnd"/>
            <w:r w:rsidR="00EE1AAE">
              <w:t xml:space="preserve">) la </w:t>
            </w:r>
            <w:proofErr w:type="spellStart"/>
            <w:r w:rsidR="00EE1AAE">
              <w:t>réduction</w:t>
            </w:r>
            <w:proofErr w:type="spellEnd"/>
            <w:r w:rsidR="00EE1AAE">
              <w:t xml:space="preserve"> du pool des PVVIH ignorant </w:t>
            </w:r>
            <w:proofErr w:type="spellStart"/>
            <w:r w:rsidR="00EE1AAE">
              <w:t>leur</w:t>
            </w:r>
            <w:proofErr w:type="spellEnd"/>
            <w:r w:rsidR="00EE1AAE">
              <w:t xml:space="preserve"> </w:t>
            </w:r>
            <w:proofErr w:type="spellStart"/>
            <w:r w:rsidR="00EE1AAE">
              <w:t>statut</w:t>
            </w:r>
            <w:proofErr w:type="spellEnd"/>
            <w:r w:rsidR="00EE1AAE">
              <w:t xml:space="preserve"> </w:t>
            </w:r>
            <w:proofErr w:type="spellStart"/>
            <w:r w:rsidR="00EE1AAE">
              <w:t>sérologique</w:t>
            </w:r>
            <w:proofErr w:type="spellEnd"/>
            <w:r w:rsidR="00EE1AAE">
              <w:t xml:space="preserve"> (sous </w:t>
            </w:r>
            <w:proofErr w:type="spellStart"/>
            <w:r w:rsidR="00EE1AAE">
              <w:t>l’effet</w:t>
            </w:r>
            <w:proofErr w:type="spellEnd"/>
            <w:r w:rsidR="00EE1AAE">
              <w:t xml:space="preserve"> de la progression des </w:t>
            </w:r>
            <w:proofErr w:type="spellStart"/>
            <w:r w:rsidR="00EE1AAE">
              <w:t>stratégies</w:t>
            </w:r>
            <w:proofErr w:type="spellEnd"/>
            <w:r w:rsidR="00EE1AAE">
              <w:t xml:space="preserve"> de prevention et de </w:t>
            </w:r>
            <w:proofErr w:type="spellStart"/>
            <w:r w:rsidR="00EE1AAE">
              <w:t>dépistage</w:t>
            </w:r>
            <w:proofErr w:type="spellEnd"/>
            <w:r w:rsidR="00EE1AAE">
              <w:t xml:space="preserve">); (ii) </w:t>
            </w:r>
            <w:proofErr w:type="spellStart"/>
            <w:r w:rsidR="00EE1AAE">
              <w:t>l’amélioration</w:t>
            </w:r>
            <w:proofErr w:type="spellEnd"/>
            <w:r w:rsidR="00EE1AAE">
              <w:t xml:space="preserve"> du lien au </w:t>
            </w:r>
            <w:proofErr w:type="spellStart"/>
            <w:r w:rsidR="00EE1AAE">
              <w:t>traitement</w:t>
            </w:r>
            <w:proofErr w:type="spellEnd"/>
            <w:r w:rsidR="00EE1AAE">
              <w:t xml:space="preserve"> ; et (iii) la </w:t>
            </w:r>
            <w:proofErr w:type="spellStart"/>
            <w:r w:rsidR="00EE1AAE">
              <w:t>réduction</w:t>
            </w:r>
            <w:proofErr w:type="spellEnd"/>
            <w:r w:rsidR="00EE1AAE">
              <w:t xml:space="preserve"> de </w:t>
            </w:r>
            <w:proofErr w:type="spellStart"/>
            <w:r w:rsidR="00EE1AAE">
              <w:t>l’atrition</w:t>
            </w:r>
            <w:proofErr w:type="spellEnd"/>
            <w:r w:rsidR="00EE1AAE">
              <w:t xml:space="preserve"> de la file active des PVVIH </w:t>
            </w:r>
            <w:proofErr w:type="spellStart"/>
            <w:r w:rsidR="00EE1AAE">
              <w:t>traitées</w:t>
            </w:r>
            <w:proofErr w:type="spellEnd"/>
            <w:r w:rsidR="00EE1AAE">
              <w:t xml:space="preserve"> par ARV sous </w:t>
            </w:r>
            <w:proofErr w:type="spellStart"/>
            <w:r w:rsidR="00EE1AAE">
              <w:t>l’effet</w:t>
            </w:r>
            <w:proofErr w:type="spellEnd"/>
            <w:r w:rsidR="00EE1AAE">
              <w:t xml:space="preserve"> des efforts pour </w:t>
            </w:r>
            <w:proofErr w:type="spellStart"/>
            <w:r w:rsidR="00EE1AAE">
              <w:t>améliorer</w:t>
            </w:r>
            <w:proofErr w:type="spellEnd"/>
            <w:r w:rsidR="00EE1AAE">
              <w:t xml:space="preserve"> </w:t>
            </w:r>
            <w:proofErr w:type="spellStart"/>
            <w:r w:rsidR="00EE1AAE">
              <w:t>leur</w:t>
            </w:r>
            <w:proofErr w:type="spellEnd"/>
            <w:r w:rsidR="00EE1AAE">
              <w:t xml:space="preserve"> </w:t>
            </w:r>
            <w:proofErr w:type="spellStart"/>
            <w:r w:rsidR="00EE1AAE">
              <w:t>rétention</w:t>
            </w:r>
            <w:proofErr w:type="spellEnd"/>
            <w:r w:rsidR="00EE1AAE">
              <w:t xml:space="preserve"> dans les </w:t>
            </w:r>
            <w:proofErr w:type="spellStart"/>
            <w:r w:rsidR="00EE1AAE">
              <w:t>soins</w:t>
            </w:r>
            <w:proofErr w:type="spellEnd"/>
            <w:r w:rsidR="00EE1AAE">
              <w:t>.</w:t>
            </w:r>
          </w:p>
          <w:p w14:paraId="11450370" w14:textId="77777777" w:rsidR="00EE1AAE" w:rsidRPr="00EE1AAE" w:rsidRDefault="00EE1AAE" w:rsidP="00EE1AAE"/>
          <w:p w14:paraId="1B19ECB6" w14:textId="54427AFE" w:rsidR="00592CD8" w:rsidRPr="001B7DE0" w:rsidRDefault="00592CD8" w:rsidP="001B7DE0">
            <w:pPr>
              <w:pStyle w:val="NormalJBGS"/>
              <w:numPr>
                <w:ilvl w:val="0"/>
                <w:numId w:val="39"/>
              </w:numPr>
              <w:jc w:val="both"/>
              <w:rPr>
                <w:b/>
                <w:i w:val="0"/>
                <w:color w:val="auto"/>
                <w:sz w:val="22"/>
                <w:lang w:val="fr-FR"/>
              </w:rPr>
            </w:pPr>
            <w:r w:rsidRPr="001B7DE0">
              <w:rPr>
                <w:b/>
                <w:i w:val="0"/>
                <w:color w:val="auto"/>
                <w:sz w:val="22"/>
                <w:lang w:val="fr-FR"/>
              </w:rPr>
              <w:t>Prestation de services différenciés de traitement antirétroviral et de prise en charge du VIH</w:t>
            </w:r>
          </w:p>
          <w:p w14:paraId="5E668FC6" w14:textId="3B13A08A" w:rsidR="002242C9" w:rsidRPr="00390EA4" w:rsidRDefault="002242C9" w:rsidP="002242C9">
            <w:pPr>
              <w:pStyle w:val="NormalNoSpace"/>
              <w:rPr>
                <w:lang w:val="fr-CI"/>
              </w:rPr>
            </w:pPr>
            <w:r w:rsidRPr="00390EA4">
              <w:rPr>
                <w:lang w:val="fr-CI"/>
              </w:rPr>
              <w:t>Pour accélérer l’atteinte du 2</w:t>
            </w:r>
            <w:r w:rsidRPr="00390EA4">
              <w:rPr>
                <w:vertAlign w:val="superscript"/>
                <w:lang w:val="fr-CI"/>
              </w:rPr>
              <w:t>ème</w:t>
            </w:r>
            <w:r w:rsidRPr="00390EA4">
              <w:rPr>
                <w:lang w:val="fr-CI"/>
              </w:rPr>
              <w:t xml:space="preserve"> 90 (estimé à 63% en fin 2019, pour un objectif de 81% </w:t>
            </w:r>
            <w:proofErr w:type="spellStart"/>
            <w:r w:rsidR="00557984" w:rsidRPr="0002374C">
              <w:rPr>
                <w:i/>
              </w:rPr>
              <w:t>Annexe</w:t>
            </w:r>
            <w:proofErr w:type="spellEnd"/>
            <w:r w:rsidR="00557984" w:rsidRPr="0002374C">
              <w:rPr>
                <w:i/>
              </w:rPr>
              <w:t xml:space="preserve"> </w:t>
            </w:r>
            <w:r w:rsidR="00557984">
              <w:rPr>
                <w:i/>
              </w:rPr>
              <w:t>32</w:t>
            </w:r>
            <w:r w:rsidRPr="00390EA4">
              <w:rPr>
                <w:lang w:val="fr-CI"/>
              </w:rPr>
              <w:t>), les activités proposées en matière de prestation de services différenciés dans ce module seront :</w:t>
            </w:r>
          </w:p>
          <w:p w14:paraId="1FA674BA" w14:textId="77777777" w:rsidR="002242C9" w:rsidRPr="00390EA4" w:rsidRDefault="002242C9" w:rsidP="00F87C27">
            <w:pPr>
              <w:pStyle w:val="liste1"/>
              <w:rPr>
                <w:lang w:val="fr-CI"/>
              </w:rPr>
            </w:pPr>
            <w:r w:rsidRPr="00390EA4">
              <w:rPr>
                <w:lang w:val="fr-CI"/>
              </w:rPr>
              <w:t xml:space="preserve">Le renforcement des modèles de soins différenciés existants, notamment le renouvellement accéléré du TARV (3 mois), la dispensation </w:t>
            </w:r>
            <w:proofErr w:type="spellStart"/>
            <w:r w:rsidRPr="00390EA4">
              <w:rPr>
                <w:lang w:val="fr-CI"/>
              </w:rPr>
              <w:t>multimois</w:t>
            </w:r>
            <w:proofErr w:type="spellEnd"/>
            <w:r w:rsidRPr="00390EA4">
              <w:rPr>
                <w:lang w:val="fr-CI"/>
              </w:rPr>
              <w:t xml:space="preserve"> (6 mois), la distribution d’ARV par les groupes d’autosupport des patients stables ;</w:t>
            </w:r>
          </w:p>
          <w:p w14:paraId="4FD8B639" w14:textId="77777777" w:rsidR="002242C9" w:rsidRPr="00390EA4" w:rsidRDefault="002242C9" w:rsidP="00F87C27">
            <w:pPr>
              <w:pStyle w:val="liste1"/>
              <w:rPr>
                <w:lang w:val="fr-CI"/>
              </w:rPr>
            </w:pPr>
            <w:r w:rsidRPr="00390EA4">
              <w:rPr>
                <w:lang w:val="fr-CI"/>
              </w:rPr>
              <w:lastRenderedPageBreak/>
              <w:t>Assurer le suivi de la mise en œuvre de la délégation encadrée des tâches dans les structures de PEC VIH</w:t>
            </w:r>
          </w:p>
          <w:p w14:paraId="47D37A74" w14:textId="3C60AA2C" w:rsidR="002242C9" w:rsidRPr="00390EA4" w:rsidRDefault="002242C9" w:rsidP="00F87C27">
            <w:pPr>
              <w:pStyle w:val="liste1"/>
              <w:rPr>
                <w:lang w:val="fr-CI"/>
              </w:rPr>
            </w:pPr>
            <w:r w:rsidRPr="00390EA4">
              <w:rPr>
                <w:lang w:val="fr-CI"/>
              </w:rPr>
              <w:t>La promotion et le passage à l’échelle de la distribution communautaire des ARV (</w:t>
            </w:r>
            <w:r w:rsidRPr="00390EA4">
              <w:rPr>
                <w:rFonts w:cstheme="minorHAnsi"/>
                <w:lang w:val="fr-CI"/>
              </w:rPr>
              <w:t xml:space="preserve">distribution </w:t>
            </w:r>
            <w:r w:rsidRPr="002873C8">
              <w:rPr>
                <w:rFonts w:cstheme="minorHAnsi"/>
                <w:lang w:val="fr-CI"/>
              </w:rPr>
              <w:t xml:space="preserve">communautaire </w:t>
            </w:r>
            <w:r w:rsidR="00414D0F" w:rsidRPr="002873C8">
              <w:rPr>
                <w:rFonts w:cstheme="minorHAnsi"/>
                <w:lang w:val="fr-CI"/>
              </w:rPr>
              <w:t xml:space="preserve">mis en place </w:t>
            </w:r>
            <w:r w:rsidR="00D31BAC" w:rsidRPr="002873C8">
              <w:rPr>
                <w:rFonts w:cstheme="minorHAnsi"/>
                <w:lang w:val="fr-CI"/>
              </w:rPr>
              <w:t xml:space="preserve">de façon progressive, </w:t>
            </w:r>
            <w:r w:rsidR="00414D0F" w:rsidRPr="002873C8">
              <w:rPr>
                <w:lang w:val="fr-CI"/>
              </w:rPr>
              <w:t xml:space="preserve">selon </w:t>
            </w:r>
            <w:r w:rsidR="004B4CF8" w:rsidRPr="002873C8">
              <w:rPr>
                <w:lang w:val="fr-CI"/>
              </w:rPr>
              <w:t xml:space="preserve">un plan opérationnel / guide technique </w:t>
            </w:r>
            <w:r w:rsidR="00414D0F" w:rsidRPr="002873C8">
              <w:rPr>
                <w:lang w:val="fr-CI"/>
              </w:rPr>
              <w:t>en cours de développement</w:t>
            </w:r>
            <w:r w:rsidR="00D31BAC" w:rsidRPr="002873C8">
              <w:rPr>
                <w:lang w:val="fr-CI"/>
              </w:rPr>
              <w:t xml:space="preserve">, </w:t>
            </w:r>
            <w:r w:rsidR="002873C8" w:rsidRPr="002873C8">
              <w:rPr>
                <w:lang w:val="fr-CI"/>
              </w:rPr>
              <w:t>à partir des</w:t>
            </w:r>
            <w:r w:rsidR="00D31BAC" w:rsidRPr="002873C8">
              <w:rPr>
                <w:lang w:val="fr-CI"/>
              </w:rPr>
              <w:t xml:space="preserve"> </w:t>
            </w:r>
            <w:r w:rsidR="002873C8" w:rsidRPr="002873C8">
              <w:rPr>
                <w:lang w:val="fr-CI"/>
              </w:rPr>
              <w:t>248</w:t>
            </w:r>
            <w:r w:rsidR="00D31BAC" w:rsidRPr="002873C8">
              <w:rPr>
                <w:lang w:val="fr-CI"/>
              </w:rPr>
              <w:t xml:space="preserve"> sites</w:t>
            </w:r>
            <w:r w:rsidR="002873C8" w:rsidRPr="002873C8">
              <w:rPr>
                <w:lang w:val="fr-CI"/>
              </w:rPr>
              <w:t xml:space="preserve"> des 41 DS couverts par A</w:t>
            </w:r>
            <w:r w:rsidR="00557984">
              <w:rPr>
                <w:lang w:val="fr-CI"/>
              </w:rPr>
              <w:t>lliance Côte d’</w:t>
            </w:r>
            <w:r w:rsidR="002873C8" w:rsidRPr="002873C8">
              <w:rPr>
                <w:lang w:val="fr-CI"/>
              </w:rPr>
              <w:t>I</w:t>
            </w:r>
            <w:r w:rsidR="00557984">
              <w:rPr>
                <w:lang w:val="fr-CI"/>
              </w:rPr>
              <w:t>voire</w:t>
            </w:r>
            <w:r w:rsidR="002873C8" w:rsidRPr="002873C8">
              <w:rPr>
                <w:lang w:val="fr-CI"/>
              </w:rPr>
              <w:t xml:space="preserve"> d’ici 2023</w:t>
            </w:r>
            <w:r w:rsidRPr="00390EA4">
              <w:rPr>
                <w:rFonts w:cstheme="minorHAnsi"/>
                <w:lang w:val="fr-CI"/>
              </w:rPr>
              <w:t>)</w:t>
            </w:r>
            <w:r w:rsidRPr="00390EA4">
              <w:rPr>
                <w:lang w:val="fr-CI"/>
              </w:rPr>
              <w:t> ;</w:t>
            </w:r>
          </w:p>
          <w:p w14:paraId="170D9480" w14:textId="77777777" w:rsidR="002242C9" w:rsidRPr="00390EA4" w:rsidRDefault="002242C9" w:rsidP="00F87C27">
            <w:pPr>
              <w:pStyle w:val="liste1"/>
              <w:rPr>
                <w:lang w:val="fr-CI"/>
              </w:rPr>
            </w:pPr>
            <w:r w:rsidRPr="00390EA4">
              <w:rPr>
                <w:lang w:val="fr-CI"/>
              </w:rPr>
              <w:t xml:space="preserve">Le renforcement du lien au traitement / référence active (entre les acteurs communautaires et les sites de prise en charge) ; </w:t>
            </w:r>
          </w:p>
          <w:p w14:paraId="7F06BC9A" w14:textId="77777777" w:rsidR="002242C9" w:rsidRPr="00390EA4" w:rsidRDefault="002242C9" w:rsidP="00F87C27">
            <w:pPr>
              <w:pStyle w:val="liste1"/>
              <w:rPr>
                <w:lang w:val="fr-CI"/>
              </w:rPr>
            </w:pPr>
            <w:r w:rsidRPr="00390EA4">
              <w:rPr>
                <w:lang w:val="fr-CI"/>
              </w:rPr>
              <w:t>Le renforcement de la préparation au traitement dans le contexte du « Tester et traiter tous » (éducation pré-thérapeutique) ;</w:t>
            </w:r>
          </w:p>
          <w:p w14:paraId="407E5270" w14:textId="77777777" w:rsidR="002242C9" w:rsidRPr="00390EA4" w:rsidRDefault="002242C9" w:rsidP="00F87C27">
            <w:pPr>
              <w:pStyle w:val="liste1"/>
              <w:rPr>
                <w:lang w:val="fr-CI"/>
              </w:rPr>
            </w:pPr>
            <w:r w:rsidRPr="00390EA4">
              <w:rPr>
                <w:lang w:val="fr-CI"/>
              </w:rPr>
              <w:t>La transition vers les schémas optimaux de traitement ARV.</w:t>
            </w:r>
          </w:p>
          <w:p w14:paraId="492D5B25" w14:textId="77777777" w:rsidR="002242C9" w:rsidRPr="00390EA4" w:rsidRDefault="002242C9" w:rsidP="00F87C27">
            <w:pPr>
              <w:pStyle w:val="liste1"/>
              <w:rPr>
                <w:lang w:val="fr-CI"/>
              </w:rPr>
            </w:pPr>
            <w:r w:rsidRPr="00390EA4">
              <w:rPr>
                <w:lang w:val="fr-CI"/>
              </w:rPr>
              <w:t>L’accompagnement des prestataires non-pédiatres pour prendre en charge les enfants infectés par le VIH dans les structures de santé offrant la PEC VIH et ne rapportant pas de données de PECP</w:t>
            </w:r>
          </w:p>
          <w:p w14:paraId="6C0E66B7" w14:textId="1B210B6F" w:rsidR="002242C9" w:rsidRPr="00390EA4" w:rsidRDefault="002242C9" w:rsidP="00F87C27">
            <w:pPr>
              <w:pStyle w:val="liste1"/>
              <w:rPr>
                <w:lang w:val="fr-CI"/>
              </w:rPr>
            </w:pPr>
            <w:r w:rsidRPr="00390EA4">
              <w:rPr>
                <w:lang w:val="fr-CI"/>
              </w:rPr>
              <w:t>La diffusion rapide des documents normatifs élaborés / mis à jour sur la base des recomma</w:t>
            </w:r>
            <w:r w:rsidR="00BE7A05">
              <w:rPr>
                <w:lang w:val="fr-CI"/>
              </w:rPr>
              <w:t>n</w:t>
            </w:r>
            <w:r w:rsidRPr="00390EA4">
              <w:rPr>
                <w:lang w:val="fr-CI"/>
              </w:rPr>
              <w:t xml:space="preserve">dations internationales pour leur appropriation par les prestataires </w:t>
            </w:r>
          </w:p>
          <w:p w14:paraId="7F87773C" w14:textId="4D89B0E0" w:rsidR="002242C9" w:rsidRDefault="002242C9" w:rsidP="00F87C27">
            <w:pPr>
              <w:pStyle w:val="liste1"/>
              <w:rPr>
                <w:lang w:val="fr-CI"/>
              </w:rPr>
            </w:pPr>
            <w:r w:rsidRPr="00390EA4">
              <w:rPr>
                <w:lang w:val="fr-CI"/>
              </w:rPr>
              <w:t>Le maintien des acquis ainsi que la formation des nouveaux prestataires dans les DS prioritaires.</w:t>
            </w:r>
          </w:p>
          <w:p w14:paraId="0AF62346" w14:textId="61FB086E" w:rsidR="002242C9" w:rsidRPr="00390EA4" w:rsidRDefault="002242C9" w:rsidP="002242C9">
            <w:pPr>
              <w:pStyle w:val="NormalNoSpace"/>
              <w:rPr>
                <w:lang w:val="fr-CI"/>
              </w:rPr>
            </w:pPr>
            <w:r w:rsidRPr="00390EA4">
              <w:rPr>
                <w:lang w:val="fr-CI"/>
              </w:rPr>
              <w:t>Ces interventions seront intensifiées dans 36 DS prioritaires, avec des activités de maintien / pérennisation des acquis dans les autres districts. Sur ces DS prioritaires, 10 sont soutenus par le PEPFAR et 20 par Alliance Côte d’Ivoire, tandis que la coordination et la formation seront assurées par le PNLS et la DSC.</w:t>
            </w:r>
            <w:r w:rsidR="0043061C">
              <w:rPr>
                <w:lang w:val="fr-CI"/>
              </w:rPr>
              <w:t xml:space="preserve"> Dans les autres DS,</w:t>
            </w:r>
            <w:r w:rsidR="00134CB3">
              <w:rPr>
                <w:lang w:val="fr-CI"/>
              </w:rPr>
              <w:t xml:space="preserve"> 21 s</w:t>
            </w:r>
            <w:r w:rsidR="00F449F0">
              <w:rPr>
                <w:lang w:val="fr-CI"/>
              </w:rPr>
              <w:t>er</w:t>
            </w:r>
            <w:r w:rsidR="00134CB3">
              <w:rPr>
                <w:lang w:val="fr-CI"/>
              </w:rPr>
              <w:t>ont soutenus par ACI</w:t>
            </w:r>
            <w:r w:rsidR="00AC7AFE">
              <w:rPr>
                <w:lang w:val="fr-CI"/>
              </w:rPr>
              <w:t>.</w:t>
            </w:r>
          </w:p>
          <w:p w14:paraId="5EDA8C00" w14:textId="588F4598" w:rsidR="00592CD8" w:rsidRDefault="002242C9" w:rsidP="00390EA4">
            <w:pPr>
              <w:jc w:val="both"/>
            </w:pPr>
            <w:r w:rsidRPr="00B01273" w:rsidDel="002242C9">
              <w:rPr>
                <w:rFonts w:cstheme="minorHAnsi"/>
                <w:lang w:val="fr-CI"/>
              </w:rPr>
              <w:t xml:space="preserve"> </w:t>
            </w:r>
          </w:p>
          <w:p w14:paraId="0139C2A8" w14:textId="1D1EA310" w:rsidR="00592CD8" w:rsidRPr="001B7DE0" w:rsidRDefault="00592CD8" w:rsidP="001B7DE0">
            <w:pPr>
              <w:pStyle w:val="NormalJBGS"/>
              <w:numPr>
                <w:ilvl w:val="0"/>
                <w:numId w:val="39"/>
              </w:numPr>
              <w:jc w:val="both"/>
              <w:rPr>
                <w:b/>
                <w:i w:val="0"/>
                <w:color w:val="auto"/>
                <w:sz w:val="22"/>
                <w:lang w:val="fr-FR"/>
              </w:rPr>
            </w:pPr>
            <w:r w:rsidRPr="001B7DE0">
              <w:rPr>
                <w:b/>
                <w:i w:val="0"/>
                <w:color w:val="auto"/>
                <w:sz w:val="22"/>
                <w:lang w:val="fr-FR"/>
              </w:rPr>
              <w:t>Suivi du traitement – Toxicité des antirétroviraux</w:t>
            </w:r>
          </w:p>
          <w:p w14:paraId="5827AE9D" w14:textId="3083CA87" w:rsidR="002242C9" w:rsidRDefault="002242C9" w:rsidP="004E1C7A">
            <w:pPr>
              <w:pStyle w:val="Texteformulaire"/>
              <w:rPr>
                <w:lang w:val="fr-CI"/>
              </w:rPr>
            </w:pPr>
            <w:r>
              <w:rPr>
                <w:lang w:val="fr-CI"/>
              </w:rPr>
              <w:t xml:space="preserve">Les </w:t>
            </w:r>
            <w:r w:rsidR="00AB5590">
              <w:rPr>
                <w:lang w:val="fr-CI"/>
              </w:rPr>
              <w:t>activités</w:t>
            </w:r>
            <w:r>
              <w:rPr>
                <w:lang w:val="fr-CI"/>
              </w:rPr>
              <w:t xml:space="preserve"> </w:t>
            </w:r>
            <w:r w:rsidR="00AB5590">
              <w:rPr>
                <w:lang w:val="fr-CI"/>
              </w:rPr>
              <w:t xml:space="preserve">principales </w:t>
            </w:r>
            <w:r>
              <w:rPr>
                <w:lang w:val="fr-CI"/>
              </w:rPr>
              <w:t>prévues sont :</w:t>
            </w:r>
          </w:p>
          <w:p w14:paraId="0BADC7F2" w14:textId="5EF22513" w:rsidR="002242C9" w:rsidRDefault="002242C9" w:rsidP="00F87C27">
            <w:pPr>
              <w:pStyle w:val="liste1"/>
              <w:rPr>
                <w:lang w:val="fr-CI"/>
              </w:rPr>
            </w:pPr>
            <w:r>
              <w:rPr>
                <w:lang w:val="fr-CI"/>
              </w:rPr>
              <w:t>Le renforcement du suivi de la toxicité des ARV</w:t>
            </w:r>
            <w:r w:rsidR="00D21317">
              <w:rPr>
                <w:lang w:val="fr-CI"/>
              </w:rPr>
              <w:t xml:space="preserve"> (appui au système de pharmacovigilance, formation sur la notification des cas)</w:t>
            </w:r>
            <w:r>
              <w:rPr>
                <w:lang w:val="fr-CI"/>
              </w:rPr>
              <w:t>, en particulier dans le contexte de la transition en cours vers un</w:t>
            </w:r>
            <w:r w:rsidR="00592CD8" w:rsidRPr="00462609">
              <w:rPr>
                <w:lang w:val="fr-CI"/>
              </w:rPr>
              <w:t xml:space="preserve"> </w:t>
            </w:r>
            <w:r>
              <w:rPr>
                <w:lang w:val="fr-CI"/>
              </w:rPr>
              <w:t xml:space="preserve">nouveau </w:t>
            </w:r>
            <w:r w:rsidRPr="00462609">
              <w:rPr>
                <w:lang w:val="fr-CI"/>
              </w:rPr>
              <w:t xml:space="preserve">protocole de </w:t>
            </w:r>
            <w:r>
              <w:rPr>
                <w:lang w:val="fr-CI"/>
              </w:rPr>
              <w:t>1</w:t>
            </w:r>
            <w:r w:rsidRPr="00390EA4">
              <w:rPr>
                <w:lang w:val="fr-CI"/>
              </w:rPr>
              <w:t>ère</w:t>
            </w:r>
            <w:r>
              <w:rPr>
                <w:lang w:val="fr-CI"/>
              </w:rPr>
              <w:t xml:space="preserve"> </w:t>
            </w:r>
            <w:r w:rsidRPr="00462609">
              <w:rPr>
                <w:lang w:val="fr-CI"/>
              </w:rPr>
              <w:t>ligne</w:t>
            </w:r>
            <w:r>
              <w:rPr>
                <w:lang w:val="fr-CI"/>
              </w:rPr>
              <w:t xml:space="preserve"> d’ARV</w:t>
            </w:r>
            <w:r w:rsidRPr="00462609">
              <w:rPr>
                <w:lang w:val="fr-CI"/>
              </w:rPr>
              <w:t xml:space="preserve"> </w:t>
            </w:r>
            <w:r>
              <w:rPr>
                <w:lang w:val="fr-CI"/>
              </w:rPr>
              <w:t xml:space="preserve">incluant le </w:t>
            </w:r>
            <w:proofErr w:type="spellStart"/>
            <w:r>
              <w:rPr>
                <w:lang w:val="fr-CI"/>
              </w:rPr>
              <w:t>d</w:t>
            </w:r>
            <w:r w:rsidR="00592CD8" w:rsidRPr="00462609">
              <w:rPr>
                <w:lang w:val="fr-CI"/>
              </w:rPr>
              <w:t>olutégravir</w:t>
            </w:r>
            <w:proofErr w:type="spellEnd"/>
            <w:r w:rsidR="00592CD8" w:rsidRPr="00462609">
              <w:rPr>
                <w:lang w:val="fr-CI"/>
              </w:rPr>
              <w:t xml:space="preserve"> (DTG)</w:t>
            </w:r>
            <w:r w:rsidR="006412BA">
              <w:rPr>
                <w:lang w:val="fr-CI"/>
              </w:rPr>
              <w:t xml:space="preserve"> </w:t>
            </w:r>
          </w:p>
          <w:p w14:paraId="16245C96" w14:textId="6C5B37BB" w:rsidR="00592CD8" w:rsidRPr="00390EA4" w:rsidRDefault="00D21317" w:rsidP="00F87C27">
            <w:pPr>
              <w:pStyle w:val="liste1"/>
              <w:rPr>
                <w:lang w:val="fr-CI"/>
              </w:rPr>
            </w:pPr>
            <w:r w:rsidRPr="00390EA4">
              <w:rPr>
                <w:lang w:val="fr-CI"/>
              </w:rPr>
              <w:t>Le r</w:t>
            </w:r>
            <w:r w:rsidR="00592CD8" w:rsidRPr="00390EA4">
              <w:rPr>
                <w:lang w:val="fr-CI"/>
              </w:rPr>
              <w:t>enforce</w:t>
            </w:r>
            <w:r w:rsidRPr="00390EA4">
              <w:rPr>
                <w:lang w:val="fr-CI"/>
              </w:rPr>
              <w:t>ment d</w:t>
            </w:r>
            <w:r w:rsidR="00592CD8" w:rsidRPr="00390EA4">
              <w:rPr>
                <w:lang w:val="fr-CI"/>
              </w:rPr>
              <w:t>es capacités des prestataires sur le suivi clinique et biologique des PVVIH</w:t>
            </w:r>
          </w:p>
          <w:p w14:paraId="5ED26942" w14:textId="320BB09D" w:rsidR="00592CD8" w:rsidRPr="00390EA4" w:rsidRDefault="00D21317" w:rsidP="00F87C27">
            <w:pPr>
              <w:pStyle w:val="liste1"/>
              <w:rPr>
                <w:lang w:val="fr-CI"/>
              </w:rPr>
            </w:pPr>
            <w:r w:rsidRPr="00390EA4">
              <w:rPr>
                <w:lang w:val="fr-CI"/>
              </w:rPr>
              <w:t>Le renforcement du</w:t>
            </w:r>
            <w:r w:rsidR="00592CD8" w:rsidRPr="00390EA4">
              <w:rPr>
                <w:lang w:val="fr-CI"/>
              </w:rPr>
              <w:t xml:space="preserve"> système national d'assurance qualité des laboratoires pour le VIH</w:t>
            </w:r>
            <w:r w:rsidRPr="00390EA4">
              <w:rPr>
                <w:lang w:val="fr-CI"/>
              </w:rPr>
              <w:t>,</w:t>
            </w:r>
            <w:r w:rsidR="00592CD8" w:rsidRPr="00390EA4">
              <w:rPr>
                <w:lang w:val="fr-CI"/>
              </w:rPr>
              <w:t xml:space="preserve"> y compris la maintenance des équipements</w:t>
            </w:r>
            <w:r>
              <w:rPr>
                <w:lang w:val="fr-CI"/>
              </w:rPr>
              <w:t>.</w:t>
            </w:r>
          </w:p>
          <w:p w14:paraId="47C4AA2C" w14:textId="77777777" w:rsidR="00D21317" w:rsidRDefault="00D21317" w:rsidP="00390EA4">
            <w:pPr>
              <w:pStyle w:val="NormalJBGS"/>
              <w:ind w:left="720"/>
              <w:jc w:val="both"/>
              <w:rPr>
                <w:b/>
                <w:bCs/>
                <w:i w:val="0"/>
                <w:color w:val="auto"/>
                <w:sz w:val="22"/>
                <w:szCs w:val="22"/>
                <w:lang w:val="fr-FR"/>
              </w:rPr>
            </w:pPr>
          </w:p>
          <w:p w14:paraId="360368EC" w14:textId="32AA3BCB" w:rsidR="00592CD8" w:rsidRPr="001B7DE0" w:rsidRDefault="00592CD8" w:rsidP="001B7DE0">
            <w:pPr>
              <w:pStyle w:val="NormalJBGS"/>
              <w:numPr>
                <w:ilvl w:val="0"/>
                <w:numId w:val="39"/>
              </w:numPr>
              <w:jc w:val="both"/>
              <w:rPr>
                <w:b/>
                <w:i w:val="0"/>
                <w:color w:val="auto"/>
                <w:sz w:val="22"/>
                <w:lang w:val="fr-FR"/>
              </w:rPr>
            </w:pPr>
            <w:r w:rsidRPr="001B7DE0">
              <w:rPr>
                <w:b/>
                <w:i w:val="0"/>
                <w:color w:val="auto"/>
                <w:sz w:val="22"/>
                <w:lang w:val="fr-FR"/>
              </w:rPr>
              <w:t>Suivi du traitement – Charge virale</w:t>
            </w:r>
          </w:p>
          <w:p w14:paraId="04E4354E" w14:textId="0C018543" w:rsidR="00AB5590" w:rsidRDefault="00AB5590" w:rsidP="004E1C7A">
            <w:pPr>
              <w:pStyle w:val="Texteformulaire"/>
              <w:rPr>
                <w:lang w:val="fr-CI"/>
              </w:rPr>
            </w:pPr>
            <w:r>
              <w:rPr>
                <w:lang w:val="fr-CI"/>
              </w:rPr>
              <w:t xml:space="preserve">Les </w:t>
            </w:r>
            <w:r w:rsidR="00592CD8" w:rsidRPr="00EA4F4F">
              <w:rPr>
                <w:lang w:val="fr-CI"/>
              </w:rPr>
              <w:t xml:space="preserve">19 plateformes </w:t>
            </w:r>
            <w:r>
              <w:rPr>
                <w:lang w:val="fr-CI"/>
              </w:rPr>
              <w:t xml:space="preserve">de </w:t>
            </w:r>
            <w:proofErr w:type="spellStart"/>
            <w:r>
              <w:rPr>
                <w:lang w:val="fr-CI"/>
              </w:rPr>
              <w:t>biomol</w:t>
            </w:r>
            <w:proofErr w:type="spellEnd"/>
            <w:r>
              <w:rPr>
                <w:lang w:val="fr-CI"/>
              </w:rPr>
              <w:t xml:space="preserve"> existantes</w:t>
            </w:r>
            <w:r w:rsidR="00592CD8" w:rsidRPr="00EA4F4F">
              <w:rPr>
                <w:lang w:val="fr-CI"/>
              </w:rPr>
              <w:t xml:space="preserve"> peuvent couvrir les besoins nationaux de </w:t>
            </w:r>
            <w:r>
              <w:rPr>
                <w:lang w:val="fr-CI"/>
              </w:rPr>
              <w:t>CV mais des défis persistent en termes d</w:t>
            </w:r>
            <w:r w:rsidR="00592CD8" w:rsidRPr="00EA4F4F">
              <w:rPr>
                <w:lang w:val="fr-CI"/>
              </w:rPr>
              <w:t>e difficultés d’ach</w:t>
            </w:r>
            <w:r>
              <w:rPr>
                <w:lang w:val="fr-CI"/>
              </w:rPr>
              <w:t>e</w:t>
            </w:r>
            <w:r w:rsidR="00592CD8" w:rsidRPr="00EA4F4F">
              <w:rPr>
                <w:lang w:val="fr-CI"/>
              </w:rPr>
              <w:t>minement</w:t>
            </w:r>
            <w:r>
              <w:rPr>
                <w:lang w:val="fr-CI"/>
              </w:rPr>
              <w:t xml:space="preserve"> des prélèvements, d’</w:t>
            </w:r>
            <w:r w:rsidR="00592CD8" w:rsidRPr="00EA4F4F">
              <w:rPr>
                <w:lang w:val="fr-CI"/>
              </w:rPr>
              <w:t>insuffisance de</w:t>
            </w:r>
            <w:r>
              <w:rPr>
                <w:lang w:val="fr-CI"/>
              </w:rPr>
              <w:t>s</w:t>
            </w:r>
            <w:r w:rsidR="00592CD8" w:rsidRPr="00EA4F4F">
              <w:rPr>
                <w:lang w:val="fr-CI"/>
              </w:rPr>
              <w:t xml:space="preserve"> laboratoire</w:t>
            </w:r>
            <w:r>
              <w:rPr>
                <w:lang w:val="fr-CI"/>
              </w:rPr>
              <w:t>s</w:t>
            </w:r>
            <w:r w:rsidR="00592CD8" w:rsidRPr="00EA4F4F">
              <w:rPr>
                <w:lang w:val="fr-CI"/>
              </w:rPr>
              <w:t xml:space="preserve"> relais</w:t>
            </w:r>
            <w:r>
              <w:rPr>
                <w:lang w:val="fr-CI"/>
              </w:rPr>
              <w:t xml:space="preserve">, </w:t>
            </w:r>
            <w:r w:rsidR="00592CD8" w:rsidRPr="00EA4F4F">
              <w:rPr>
                <w:lang w:val="fr-CI"/>
              </w:rPr>
              <w:t>l</w:t>
            </w:r>
            <w:r>
              <w:rPr>
                <w:lang w:val="fr-CI"/>
              </w:rPr>
              <w:t xml:space="preserve">a faible prescription </w:t>
            </w:r>
            <w:r w:rsidR="00592CD8" w:rsidRPr="00EA4F4F">
              <w:rPr>
                <w:lang w:val="fr-CI"/>
              </w:rPr>
              <w:t xml:space="preserve">de la </w:t>
            </w:r>
            <w:r>
              <w:rPr>
                <w:lang w:val="fr-CI"/>
              </w:rPr>
              <w:t>CV par l</w:t>
            </w:r>
            <w:r w:rsidR="00592CD8" w:rsidRPr="00EA4F4F">
              <w:rPr>
                <w:lang w:val="fr-CI"/>
              </w:rPr>
              <w:t>es prescripteurs</w:t>
            </w:r>
            <w:r>
              <w:rPr>
                <w:lang w:val="fr-CI"/>
              </w:rPr>
              <w:t xml:space="preserve"> et la faible utilisation des résultats dans le suivi des PVVIH. </w:t>
            </w:r>
          </w:p>
          <w:p w14:paraId="6F9E0A82" w14:textId="5692531D" w:rsidR="00AB5590" w:rsidRPr="00390EA4" w:rsidRDefault="00AB5590" w:rsidP="00390EA4">
            <w:pPr>
              <w:pStyle w:val="Texteformulaire"/>
            </w:pPr>
            <w:r>
              <w:t xml:space="preserve">Les </w:t>
            </w:r>
            <w:proofErr w:type="spellStart"/>
            <w:r>
              <w:t>activités</w:t>
            </w:r>
            <w:proofErr w:type="spellEnd"/>
            <w:r>
              <w:t xml:space="preserve"> </w:t>
            </w:r>
            <w:proofErr w:type="spellStart"/>
            <w:r>
              <w:t>prévues</w:t>
            </w:r>
            <w:proofErr w:type="spellEnd"/>
            <w:r>
              <w:t xml:space="preserve"> </w:t>
            </w:r>
            <w:proofErr w:type="spellStart"/>
            <w:proofErr w:type="gramStart"/>
            <w:r>
              <w:t>sont</w:t>
            </w:r>
            <w:proofErr w:type="spellEnd"/>
            <w:r>
              <w:t> :</w:t>
            </w:r>
            <w:proofErr w:type="gramEnd"/>
          </w:p>
          <w:p w14:paraId="70781B25" w14:textId="4FDF69C3" w:rsidR="00EA0D4C" w:rsidRDefault="009C468E" w:rsidP="00F87C27">
            <w:pPr>
              <w:pStyle w:val="liste1"/>
              <w:rPr>
                <w:lang w:val="fr-CI"/>
              </w:rPr>
            </w:pPr>
            <w:r>
              <w:rPr>
                <w:lang w:val="fr-CI"/>
              </w:rPr>
              <w:t>Le r</w:t>
            </w:r>
            <w:r w:rsidR="00592CD8" w:rsidRPr="00390EA4">
              <w:rPr>
                <w:lang w:val="fr-CI"/>
              </w:rPr>
              <w:t>enforce</w:t>
            </w:r>
            <w:r w:rsidR="00AB5590" w:rsidRPr="00390EA4">
              <w:rPr>
                <w:lang w:val="fr-CI"/>
              </w:rPr>
              <w:t>ment d</w:t>
            </w:r>
            <w:r>
              <w:rPr>
                <w:lang w:val="fr-CI"/>
              </w:rPr>
              <w:t>es</w:t>
            </w:r>
            <w:r w:rsidR="00AB5590" w:rsidRPr="00390EA4">
              <w:rPr>
                <w:lang w:val="fr-CI"/>
              </w:rPr>
              <w:t xml:space="preserve"> </w:t>
            </w:r>
            <w:r w:rsidR="00592CD8" w:rsidRPr="00390EA4">
              <w:rPr>
                <w:lang w:val="fr-CI"/>
              </w:rPr>
              <w:t>plateau</w:t>
            </w:r>
            <w:r>
              <w:rPr>
                <w:lang w:val="fr-CI"/>
              </w:rPr>
              <w:t>x</w:t>
            </w:r>
            <w:r w:rsidR="00592CD8" w:rsidRPr="00390EA4">
              <w:rPr>
                <w:lang w:val="fr-CI"/>
              </w:rPr>
              <w:t xml:space="preserve"> technique</w:t>
            </w:r>
            <w:r>
              <w:rPr>
                <w:lang w:val="fr-CI"/>
              </w:rPr>
              <w:t>s</w:t>
            </w:r>
            <w:r w:rsidR="00592CD8" w:rsidRPr="00390EA4">
              <w:rPr>
                <w:lang w:val="fr-CI"/>
              </w:rPr>
              <w:t xml:space="preserve"> pour l'offre </w:t>
            </w:r>
            <w:r>
              <w:rPr>
                <w:lang w:val="fr-CI"/>
              </w:rPr>
              <w:t>d</w:t>
            </w:r>
            <w:r w:rsidR="00592CD8" w:rsidRPr="00390EA4">
              <w:rPr>
                <w:lang w:val="fr-CI"/>
              </w:rPr>
              <w:t>e charge virale VIH</w:t>
            </w:r>
            <w:r>
              <w:rPr>
                <w:lang w:val="fr-CI"/>
              </w:rPr>
              <w:t xml:space="preserve"> (extension des POC, etc.)</w:t>
            </w:r>
            <w:r w:rsidR="00EA0D4C">
              <w:rPr>
                <w:lang w:val="fr-CI"/>
              </w:rPr>
              <w:t> </w:t>
            </w:r>
          </w:p>
          <w:p w14:paraId="3E720FD0" w14:textId="3437E398" w:rsidR="00592CD8" w:rsidRPr="00390EA4" w:rsidRDefault="00EA0D4C" w:rsidP="00F87C27">
            <w:pPr>
              <w:pStyle w:val="liste1"/>
              <w:rPr>
                <w:lang w:val="fr-CI"/>
              </w:rPr>
            </w:pPr>
            <w:r>
              <w:rPr>
                <w:lang w:val="fr-CI"/>
              </w:rPr>
              <w:t>L</w:t>
            </w:r>
            <w:r w:rsidR="006D7337">
              <w:rPr>
                <w:lang w:val="fr-CI"/>
              </w:rPr>
              <w:t>’acquisition de cartouches et consommables, de matériels de communication des résultats</w:t>
            </w:r>
          </w:p>
          <w:p w14:paraId="080EA1E5" w14:textId="48E932F5" w:rsidR="009C468E" w:rsidRDefault="009C468E" w:rsidP="00F87C27">
            <w:pPr>
              <w:pStyle w:val="liste1"/>
              <w:rPr>
                <w:lang w:val="fr-CI"/>
              </w:rPr>
            </w:pPr>
            <w:r>
              <w:rPr>
                <w:lang w:val="fr-CI"/>
              </w:rPr>
              <w:t>Le r</w:t>
            </w:r>
            <w:r w:rsidRPr="00390EA4">
              <w:rPr>
                <w:lang w:val="fr-CI"/>
              </w:rPr>
              <w:t>enforcement du dispositif d'acheminement des prélèvements biologiques, y compris la charge virale VIH, avec l'implication des acteurs communautaires le cas éché</w:t>
            </w:r>
            <w:r>
              <w:rPr>
                <w:lang w:val="fr-CI"/>
              </w:rPr>
              <w:t>ant</w:t>
            </w:r>
            <w:r w:rsidR="006D7337">
              <w:rPr>
                <w:lang w:val="fr-CI"/>
              </w:rPr>
              <w:t xml:space="preserve"> (équipements de transports d’échantillon)</w:t>
            </w:r>
          </w:p>
          <w:p w14:paraId="38D57ABA" w14:textId="32DD853A" w:rsidR="00592CD8" w:rsidRPr="00390EA4" w:rsidRDefault="009C468E" w:rsidP="00F87C27">
            <w:pPr>
              <w:pStyle w:val="liste1"/>
              <w:rPr>
                <w:lang w:val="fr-CI"/>
              </w:rPr>
            </w:pPr>
            <w:r>
              <w:rPr>
                <w:lang w:val="fr-CI"/>
              </w:rPr>
              <w:lastRenderedPageBreak/>
              <w:t>Le r</w:t>
            </w:r>
            <w:r w:rsidR="00AB5590" w:rsidRPr="00390EA4">
              <w:rPr>
                <w:lang w:val="fr-CI"/>
              </w:rPr>
              <w:t xml:space="preserve">enforcement des </w:t>
            </w:r>
            <w:r w:rsidR="00592CD8" w:rsidRPr="00390EA4">
              <w:rPr>
                <w:lang w:val="fr-CI"/>
              </w:rPr>
              <w:t>capacités des prestataires à la prescription et à l’utilisation de la charge virale (médecins, infirmiers, sages-femmes)</w:t>
            </w:r>
          </w:p>
          <w:p w14:paraId="70D1F514" w14:textId="563CD2E3" w:rsidR="00592CD8" w:rsidRPr="00390EA4" w:rsidRDefault="009C468E" w:rsidP="00F87C27">
            <w:pPr>
              <w:pStyle w:val="liste1"/>
              <w:rPr>
                <w:lang w:val="fr-CI"/>
              </w:rPr>
            </w:pPr>
            <w:r>
              <w:rPr>
                <w:lang w:val="fr-CI"/>
              </w:rPr>
              <w:t>Le r</w:t>
            </w:r>
            <w:r w:rsidR="00AB5590" w:rsidRPr="00390EA4">
              <w:rPr>
                <w:lang w:val="fr-CI"/>
              </w:rPr>
              <w:t xml:space="preserve">enforcement des </w:t>
            </w:r>
            <w:r w:rsidR="00592CD8" w:rsidRPr="00390EA4">
              <w:rPr>
                <w:lang w:val="fr-CI"/>
              </w:rPr>
              <w:t>capacités des acteurs communautaires sur l'intérêt de la</w:t>
            </w:r>
            <w:r w:rsidR="006E10F9">
              <w:rPr>
                <w:lang w:val="fr-CI"/>
              </w:rPr>
              <w:t xml:space="preserve"> CV</w:t>
            </w:r>
            <w:r w:rsidR="00592CD8" w:rsidRPr="00390EA4">
              <w:rPr>
                <w:lang w:val="fr-CI"/>
              </w:rPr>
              <w:t xml:space="preserve"> et l'accompagnement des PVVIH à </w:t>
            </w:r>
            <w:r w:rsidR="006E10F9">
              <w:rPr>
                <w:lang w:val="fr-CI"/>
              </w:rPr>
              <w:t>sa</w:t>
            </w:r>
            <w:r w:rsidR="00592CD8" w:rsidRPr="00390EA4">
              <w:rPr>
                <w:lang w:val="fr-CI"/>
              </w:rPr>
              <w:t xml:space="preserve"> réalisation</w:t>
            </w:r>
            <w:r w:rsidR="00EA0D4C">
              <w:rPr>
                <w:lang w:val="fr-CI"/>
              </w:rPr>
              <w:t>.</w:t>
            </w:r>
          </w:p>
          <w:p w14:paraId="37BF60C6" w14:textId="77777777" w:rsidR="00FA7131" w:rsidRDefault="00FA7131" w:rsidP="00E80CEF">
            <w:pPr>
              <w:pStyle w:val="NormalJBGS"/>
              <w:spacing w:after="0" w:line="240" w:lineRule="auto"/>
              <w:jc w:val="both"/>
              <w:rPr>
                <w:b/>
                <w:bCs/>
                <w:sz w:val="22"/>
                <w:szCs w:val="22"/>
                <w:lang w:val="fr-FR"/>
              </w:rPr>
            </w:pPr>
          </w:p>
          <w:p w14:paraId="00CC2A77" w14:textId="3FE5F736" w:rsidR="00592CD8" w:rsidRPr="001B7DE0" w:rsidRDefault="00592CD8" w:rsidP="001B7DE0">
            <w:pPr>
              <w:pStyle w:val="NormalJBGS"/>
              <w:numPr>
                <w:ilvl w:val="0"/>
                <w:numId w:val="39"/>
              </w:numPr>
              <w:jc w:val="both"/>
              <w:rPr>
                <w:b/>
                <w:i w:val="0"/>
                <w:color w:val="auto"/>
                <w:sz w:val="22"/>
                <w:lang w:val="fr-FR"/>
              </w:rPr>
            </w:pPr>
            <w:r w:rsidRPr="001B7DE0">
              <w:rPr>
                <w:b/>
                <w:i w:val="0"/>
                <w:color w:val="auto"/>
                <w:sz w:val="22"/>
                <w:lang w:val="fr-FR"/>
              </w:rPr>
              <w:t xml:space="preserve">Prévention et prise en </w:t>
            </w:r>
            <w:r w:rsidR="00FA7131" w:rsidRPr="001B7DE0">
              <w:rPr>
                <w:b/>
                <w:i w:val="0"/>
                <w:color w:val="auto"/>
                <w:sz w:val="22"/>
                <w:lang w:val="fr-FR"/>
              </w:rPr>
              <w:t xml:space="preserve">charge des co-infections et des </w:t>
            </w:r>
            <w:r w:rsidRPr="001B7DE0">
              <w:rPr>
                <w:b/>
                <w:i w:val="0"/>
                <w:color w:val="auto"/>
                <w:sz w:val="22"/>
                <w:lang w:val="fr-FR"/>
              </w:rPr>
              <w:t>Comorbidités</w:t>
            </w:r>
          </w:p>
          <w:p w14:paraId="2D00C779" w14:textId="1D5C5B36" w:rsidR="00592CD8" w:rsidRPr="00AE51D0" w:rsidRDefault="006D7337" w:rsidP="004E1C7A">
            <w:pPr>
              <w:pStyle w:val="Texteformulaire"/>
              <w:rPr>
                <w:lang w:val="fr-CI"/>
              </w:rPr>
            </w:pPr>
            <w:r>
              <w:rPr>
                <w:lang w:val="fr-CI"/>
              </w:rPr>
              <w:t>L’amélioration de la</w:t>
            </w:r>
            <w:r w:rsidR="00592CD8" w:rsidRPr="00AE51D0">
              <w:rPr>
                <w:lang w:val="fr-CI"/>
              </w:rPr>
              <w:t xml:space="preserve"> qualité d</w:t>
            </w:r>
            <w:r>
              <w:rPr>
                <w:lang w:val="fr-CI"/>
              </w:rPr>
              <w:t>u</w:t>
            </w:r>
            <w:r w:rsidR="00592CD8" w:rsidRPr="00AE51D0">
              <w:rPr>
                <w:lang w:val="fr-CI"/>
              </w:rPr>
              <w:t xml:space="preserve"> suivi des PVVIH </w:t>
            </w:r>
            <w:r>
              <w:rPr>
                <w:lang w:val="fr-CI"/>
              </w:rPr>
              <w:t xml:space="preserve">au long cours doit </w:t>
            </w:r>
            <w:r w:rsidR="00592CD8" w:rsidRPr="00AE51D0">
              <w:rPr>
                <w:lang w:val="fr-CI"/>
              </w:rPr>
              <w:t>impact</w:t>
            </w:r>
            <w:r w:rsidR="00422803">
              <w:rPr>
                <w:lang w:val="fr-CI"/>
              </w:rPr>
              <w:t>er</w:t>
            </w:r>
            <w:r w:rsidR="00592CD8" w:rsidRPr="00AE51D0">
              <w:rPr>
                <w:lang w:val="fr-CI"/>
              </w:rPr>
              <w:t xml:space="preserve"> la r</w:t>
            </w:r>
            <w:r>
              <w:rPr>
                <w:lang w:val="fr-CI"/>
              </w:rPr>
              <w:t>é</w:t>
            </w:r>
            <w:r w:rsidR="00592CD8" w:rsidRPr="00AE51D0">
              <w:rPr>
                <w:lang w:val="fr-CI"/>
              </w:rPr>
              <w:t>duction de la morbi</w:t>
            </w:r>
            <w:r>
              <w:rPr>
                <w:lang w:val="fr-CI"/>
              </w:rPr>
              <w:t>-</w:t>
            </w:r>
            <w:r w:rsidR="00592CD8" w:rsidRPr="00AE51D0">
              <w:rPr>
                <w:lang w:val="fr-CI"/>
              </w:rPr>
              <w:t>mortalit</w:t>
            </w:r>
            <w:r>
              <w:rPr>
                <w:lang w:val="fr-CI"/>
              </w:rPr>
              <w:t>é, par le dépistage et traitement des comorbidités, parmi une cohorte de PVVIH qui vieillit</w:t>
            </w:r>
            <w:r w:rsidR="00592CD8" w:rsidRPr="00AE51D0">
              <w:rPr>
                <w:lang w:val="fr-CI"/>
              </w:rPr>
              <w:t>.</w:t>
            </w:r>
          </w:p>
          <w:p w14:paraId="77DE5F6A" w14:textId="77777777" w:rsidR="00FA7131" w:rsidRPr="00390EA4" w:rsidRDefault="00FA7131" w:rsidP="00390EA4">
            <w:pPr>
              <w:pStyle w:val="Texteformulaire"/>
            </w:pPr>
            <w:r w:rsidRPr="00390EA4">
              <w:t xml:space="preserve">Il </w:t>
            </w:r>
            <w:proofErr w:type="spellStart"/>
            <w:r w:rsidRPr="00390EA4">
              <w:t>s’agit</w:t>
            </w:r>
            <w:proofErr w:type="spellEnd"/>
            <w:r w:rsidRPr="00390EA4">
              <w:t xml:space="preserve"> </w:t>
            </w:r>
            <w:proofErr w:type="gramStart"/>
            <w:r w:rsidRPr="00390EA4">
              <w:t>de :</w:t>
            </w:r>
            <w:proofErr w:type="gramEnd"/>
          </w:p>
          <w:p w14:paraId="11F14470" w14:textId="7414F4BC" w:rsidR="00592CD8" w:rsidRPr="00390EA4" w:rsidRDefault="00EA0D4C" w:rsidP="00F87C27">
            <w:pPr>
              <w:pStyle w:val="liste1"/>
              <w:rPr>
                <w:lang w:val="fr-CI"/>
              </w:rPr>
            </w:pPr>
            <w:r w:rsidRPr="00390EA4">
              <w:rPr>
                <w:lang w:val="fr-CI"/>
              </w:rPr>
              <w:t xml:space="preserve">Prévention, </w:t>
            </w:r>
            <w:r>
              <w:rPr>
                <w:lang w:val="fr-CI"/>
              </w:rPr>
              <w:t>d</w:t>
            </w:r>
            <w:r w:rsidRPr="00390EA4">
              <w:rPr>
                <w:lang w:val="fr-CI"/>
              </w:rPr>
              <w:t>épistage et p</w:t>
            </w:r>
            <w:r w:rsidR="006D7337" w:rsidRPr="00390EA4">
              <w:rPr>
                <w:lang w:val="fr-CI"/>
              </w:rPr>
              <w:t xml:space="preserve">rise en charge </w:t>
            </w:r>
            <w:r w:rsidR="00FA7131" w:rsidRPr="00390EA4">
              <w:rPr>
                <w:lang w:val="fr-CI"/>
              </w:rPr>
              <w:t xml:space="preserve">des cas </w:t>
            </w:r>
            <w:r w:rsidR="00592CD8" w:rsidRPr="00390EA4">
              <w:rPr>
                <w:lang w:val="fr-CI"/>
              </w:rPr>
              <w:t>d’hépatites</w:t>
            </w:r>
            <w:r>
              <w:rPr>
                <w:lang w:val="fr-CI"/>
              </w:rPr>
              <w:t xml:space="preserve"> virales</w:t>
            </w:r>
            <w:r w:rsidR="00592CD8" w:rsidRPr="00390EA4">
              <w:rPr>
                <w:lang w:val="fr-CI"/>
              </w:rPr>
              <w:t xml:space="preserve">, </w:t>
            </w:r>
            <w:r>
              <w:rPr>
                <w:lang w:val="fr-CI"/>
              </w:rPr>
              <w:t xml:space="preserve">de </w:t>
            </w:r>
            <w:r w:rsidR="00592CD8" w:rsidRPr="00390EA4">
              <w:rPr>
                <w:lang w:val="fr-CI"/>
              </w:rPr>
              <w:t>diabète</w:t>
            </w:r>
            <w:r>
              <w:rPr>
                <w:lang w:val="fr-CI"/>
              </w:rPr>
              <w:t xml:space="preserve"> </w:t>
            </w:r>
            <w:r w:rsidR="00592CD8" w:rsidRPr="00390EA4">
              <w:rPr>
                <w:lang w:val="fr-CI"/>
              </w:rPr>
              <w:t>par les mêmes prestataires</w:t>
            </w:r>
            <w:r>
              <w:rPr>
                <w:lang w:val="fr-CI"/>
              </w:rPr>
              <w:t xml:space="preserve"> (référence précoce, formation des prestataires</w:t>
            </w:r>
            <w:r w:rsidR="009A4BDD">
              <w:rPr>
                <w:lang w:val="fr-CI"/>
              </w:rPr>
              <w:t>, cadre de collaboration des différentes parties prenantes</w:t>
            </w:r>
            <w:r>
              <w:rPr>
                <w:lang w:val="fr-CI"/>
              </w:rPr>
              <w:t>)</w:t>
            </w:r>
          </w:p>
          <w:p w14:paraId="4A13B77D" w14:textId="6F8F55A4" w:rsidR="00592CD8" w:rsidRDefault="00592CD8" w:rsidP="00F87C27">
            <w:pPr>
              <w:pStyle w:val="liste1"/>
              <w:rPr>
                <w:lang w:val="fr-CI"/>
              </w:rPr>
            </w:pPr>
            <w:r w:rsidRPr="00390EA4">
              <w:rPr>
                <w:lang w:val="fr-CI"/>
              </w:rPr>
              <w:t>Intégrer la prévention du cancer du col de l'</w:t>
            </w:r>
            <w:r w:rsidR="00EA0D4C">
              <w:rPr>
                <w:lang w:val="fr-CI"/>
              </w:rPr>
              <w:t>u</w:t>
            </w:r>
            <w:r w:rsidRPr="00390EA4">
              <w:rPr>
                <w:lang w:val="fr-CI"/>
              </w:rPr>
              <w:t>t</w:t>
            </w:r>
            <w:r w:rsidR="00EA0D4C">
              <w:rPr>
                <w:lang w:val="fr-CI"/>
              </w:rPr>
              <w:t>é</w:t>
            </w:r>
            <w:r w:rsidRPr="00390EA4">
              <w:rPr>
                <w:lang w:val="fr-CI"/>
              </w:rPr>
              <w:t xml:space="preserve">rus chez les filles et femmes </w:t>
            </w:r>
            <w:r w:rsidR="00EA0D4C">
              <w:rPr>
                <w:lang w:val="fr-CI"/>
              </w:rPr>
              <w:t>vivant avec le VIH</w:t>
            </w:r>
            <w:r w:rsidRPr="00390EA4">
              <w:rPr>
                <w:lang w:val="fr-CI"/>
              </w:rPr>
              <w:t xml:space="preserve"> (diagnostic et </w:t>
            </w:r>
            <w:r w:rsidR="00EA0D4C">
              <w:rPr>
                <w:lang w:val="fr-CI"/>
              </w:rPr>
              <w:t>prise en charge</w:t>
            </w:r>
            <w:r w:rsidR="00EA0D4C" w:rsidRPr="00390EA4">
              <w:rPr>
                <w:lang w:val="fr-CI"/>
              </w:rPr>
              <w:t xml:space="preserve"> </w:t>
            </w:r>
            <w:r w:rsidRPr="00390EA4">
              <w:rPr>
                <w:lang w:val="fr-CI"/>
              </w:rPr>
              <w:t>des lésions précancéreuses) dans les structures de PEC VIH</w:t>
            </w:r>
            <w:r w:rsidR="00EA0D4C">
              <w:rPr>
                <w:lang w:val="fr-CI"/>
              </w:rPr>
              <w:t xml:space="preserve"> (équipement des sites, formation des prestataires)</w:t>
            </w:r>
            <w:r w:rsidR="00557984">
              <w:rPr>
                <w:lang w:val="fr-CI"/>
              </w:rPr>
              <w:t>.</w:t>
            </w:r>
          </w:p>
          <w:p w14:paraId="68D5651E" w14:textId="77777777" w:rsidR="00557984" w:rsidRDefault="00557984" w:rsidP="00557984">
            <w:pPr>
              <w:pStyle w:val="BodyLetter"/>
            </w:pPr>
          </w:p>
          <w:p w14:paraId="71731F3B" w14:textId="55E41BAF" w:rsidR="00592CD8" w:rsidRPr="001B7DE0" w:rsidRDefault="00592CD8" w:rsidP="001B7DE0">
            <w:pPr>
              <w:pStyle w:val="NormalJBGS"/>
              <w:numPr>
                <w:ilvl w:val="0"/>
                <w:numId w:val="39"/>
              </w:numPr>
              <w:jc w:val="both"/>
              <w:rPr>
                <w:b/>
                <w:i w:val="0"/>
                <w:color w:val="auto"/>
                <w:sz w:val="22"/>
                <w:lang w:val="fr-FR"/>
              </w:rPr>
            </w:pPr>
            <w:r w:rsidRPr="001B7DE0">
              <w:rPr>
                <w:b/>
                <w:i w:val="0"/>
                <w:color w:val="auto"/>
                <w:sz w:val="22"/>
                <w:lang w:val="fr-FR"/>
              </w:rPr>
              <w:t>Conseil et soutien psychosocial</w:t>
            </w:r>
          </w:p>
          <w:p w14:paraId="0BFCEFB2" w14:textId="5DC06402" w:rsidR="00860209" w:rsidRDefault="00592CD8" w:rsidP="004E1C7A">
            <w:pPr>
              <w:pStyle w:val="Texteformulaire"/>
              <w:rPr>
                <w:lang w:val="fr-CI"/>
              </w:rPr>
            </w:pPr>
            <w:r w:rsidRPr="000B4658">
              <w:rPr>
                <w:lang w:val="fr-CI"/>
              </w:rPr>
              <w:t>Le paquet de service</w:t>
            </w:r>
            <w:r w:rsidR="00EA0D4C">
              <w:rPr>
                <w:lang w:val="fr-CI"/>
              </w:rPr>
              <w:t>s</w:t>
            </w:r>
            <w:r w:rsidRPr="000B4658">
              <w:rPr>
                <w:lang w:val="fr-CI"/>
              </w:rPr>
              <w:t xml:space="preserve"> de </w:t>
            </w:r>
            <w:r w:rsidR="00EA0D4C">
              <w:rPr>
                <w:lang w:val="fr-CI"/>
              </w:rPr>
              <w:t>c</w:t>
            </w:r>
            <w:r w:rsidRPr="000B4658">
              <w:rPr>
                <w:lang w:val="fr-CI"/>
              </w:rPr>
              <w:t>onseil et soutien psychosocial comprend le paquet de rétention</w:t>
            </w:r>
            <w:r w:rsidR="00EA0D4C" w:rsidRPr="000B4658">
              <w:rPr>
                <w:lang w:val="fr-CI"/>
              </w:rPr>
              <w:t xml:space="preserve"> (9 actions pour l'observance et le maintien dans les soins durable des PVVIH sous TARV dans les soins) </w:t>
            </w:r>
            <w:r w:rsidRPr="000B4658">
              <w:rPr>
                <w:lang w:val="fr-CI"/>
              </w:rPr>
              <w:t xml:space="preserve">et le paquet de soins et soutien </w:t>
            </w:r>
            <w:r w:rsidR="00860209" w:rsidRPr="000B4658">
              <w:rPr>
                <w:lang w:val="fr-CI"/>
              </w:rPr>
              <w:t>selon les besoins (soutien psychologique</w:t>
            </w:r>
            <w:r w:rsidR="00F449F0">
              <w:rPr>
                <w:lang w:val="fr-CI"/>
              </w:rPr>
              <w:t>,</w:t>
            </w:r>
            <w:r w:rsidR="00860209" w:rsidRPr="000B4658">
              <w:rPr>
                <w:lang w:val="fr-CI"/>
              </w:rPr>
              <w:t xml:space="preserve"> </w:t>
            </w:r>
            <w:r w:rsidR="00860209">
              <w:rPr>
                <w:lang w:val="fr-CI"/>
              </w:rPr>
              <w:t>s</w:t>
            </w:r>
            <w:r w:rsidR="00860209" w:rsidRPr="000B4658">
              <w:rPr>
                <w:lang w:val="fr-CI"/>
              </w:rPr>
              <w:t>outien social, soutien de renforcement économique</w:t>
            </w:r>
            <w:r w:rsidR="00860209">
              <w:rPr>
                <w:lang w:val="fr-CI"/>
              </w:rPr>
              <w:t xml:space="preserve">, </w:t>
            </w:r>
            <w:r w:rsidR="00860209" w:rsidRPr="000B4658">
              <w:rPr>
                <w:lang w:val="fr-CI"/>
              </w:rPr>
              <w:t xml:space="preserve">disponibilité et l’accessibilité du préservatif aux PVVIH, soutien nutritionnel et alimentaire, etc.) </w:t>
            </w:r>
            <w:r w:rsidRPr="000B4658">
              <w:rPr>
                <w:lang w:val="fr-CI"/>
              </w:rPr>
              <w:t xml:space="preserve">pour </w:t>
            </w:r>
            <w:r w:rsidR="00EA0D4C">
              <w:rPr>
                <w:lang w:val="fr-CI"/>
              </w:rPr>
              <w:t>un</w:t>
            </w:r>
            <w:r w:rsidRPr="000B4658">
              <w:rPr>
                <w:lang w:val="fr-CI"/>
              </w:rPr>
              <w:t xml:space="preserve"> maintien durable des PVVIH (adulte, enfants et adolescents) </w:t>
            </w:r>
            <w:r w:rsidR="00EA0D4C">
              <w:rPr>
                <w:lang w:val="fr-CI"/>
              </w:rPr>
              <w:t>dans les soins</w:t>
            </w:r>
            <w:r w:rsidR="00860209">
              <w:rPr>
                <w:lang w:val="fr-CI"/>
              </w:rPr>
              <w:t>.</w:t>
            </w:r>
          </w:p>
          <w:p w14:paraId="3D036887" w14:textId="227162FD" w:rsidR="00592CD8" w:rsidRPr="009803F9" w:rsidRDefault="009803F9" w:rsidP="004E1C7A">
            <w:pPr>
              <w:pStyle w:val="Texteformulaire"/>
              <w:rPr>
                <w:lang w:val="fr-CI"/>
              </w:rPr>
            </w:pPr>
            <w:r>
              <w:rPr>
                <w:lang w:val="fr-CI"/>
              </w:rPr>
              <w:t>Les principales activ</w:t>
            </w:r>
            <w:r w:rsidR="00860209">
              <w:rPr>
                <w:lang w:val="fr-CI"/>
              </w:rPr>
              <w:t>i</w:t>
            </w:r>
            <w:r>
              <w:rPr>
                <w:lang w:val="fr-CI"/>
              </w:rPr>
              <w:t>tés sont :</w:t>
            </w:r>
          </w:p>
          <w:p w14:paraId="46CDE5F3" w14:textId="3DAFF0DD" w:rsidR="00592CD8" w:rsidRPr="00F12D99" w:rsidRDefault="00592CD8" w:rsidP="00F87C27">
            <w:pPr>
              <w:pStyle w:val="liste1"/>
              <w:rPr>
                <w:lang w:val="fr-CI"/>
              </w:rPr>
            </w:pPr>
            <w:r w:rsidRPr="00F12D99">
              <w:rPr>
                <w:lang w:val="fr-CI"/>
              </w:rPr>
              <w:t xml:space="preserve">Mettre en place le paquet </w:t>
            </w:r>
            <w:r>
              <w:rPr>
                <w:lang w:val="fr-CI"/>
              </w:rPr>
              <w:t xml:space="preserve">de rétention </w:t>
            </w:r>
            <w:r w:rsidRPr="00F12D99">
              <w:rPr>
                <w:lang w:val="fr-CI"/>
              </w:rPr>
              <w:t xml:space="preserve">pour l'observance et le maintien </w:t>
            </w:r>
            <w:r>
              <w:rPr>
                <w:lang w:val="fr-CI"/>
              </w:rPr>
              <w:t xml:space="preserve">durable </w:t>
            </w:r>
            <w:r w:rsidRPr="00F12D99">
              <w:rPr>
                <w:lang w:val="fr-CI"/>
              </w:rPr>
              <w:t>des PVVIH (adulte</w:t>
            </w:r>
            <w:r w:rsidR="001B6BDB">
              <w:rPr>
                <w:lang w:val="fr-CI"/>
              </w:rPr>
              <w:t>s</w:t>
            </w:r>
            <w:r w:rsidRPr="00F12D99">
              <w:rPr>
                <w:lang w:val="fr-CI"/>
              </w:rPr>
              <w:t>,</w:t>
            </w:r>
            <w:r w:rsidR="001B6BDB">
              <w:rPr>
                <w:lang w:val="fr-CI"/>
              </w:rPr>
              <w:t xml:space="preserve"> populations clés,</w:t>
            </w:r>
            <w:r w:rsidRPr="00F12D99">
              <w:rPr>
                <w:lang w:val="fr-CI"/>
              </w:rPr>
              <w:t xml:space="preserve"> enfants et adolescents) sous TARV dans les soins à l'endroit au niveau clinique et communautaire</w:t>
            </w:r>
          </w:p>
          <w:p w14:paraId="63FB6C20" w14:textId="18617824" w:rsidR="00592CD8" w:rsidRPr="00F12D99" w:rsidRDefault="00592CD8" w:rsidP="00F87C27">
            <w:pPr>
              <w:pStyle w:val="liste1"/>
              <w:rPr>
                <w:lang w:val="fr-CI"/>
              </w:rPr>
            </w:pPr>
            <w:r w:rsidRPr="00F12D99">
              <w:rPr>
                <w:lang w:val="fr-CI"/>
              </w:rPr>
              <w:t>Installer les équipes d'ETP (100/an) sur l'ensemble des sites de PEC ARV</w:t>
            </w:r>
          </w:p>
          <w:p w14:paraId="3F6FE117" w14:textId="72830CD0" w:rsidR="00592CD8" w:rsidRPr="00F12D99" w:rsidRDefault="00592CD8" w:rsidP="00F87C27">
            <w:pPr>
              <w:pStyle w:val="liste1"/>
              <w:rPr>
                <w:lang w:val="fr-CI"/>
              </w:rPr>
            </w:pPr>
            <w:r w:rsidRPr="00F12D99">
              <w:rPr>
                <w:lang w:val="fr-CI"/>
              </w:rPr>
              <w:t>Mettre en place le cadre de coordination des interventions des soins et soutien</w:t>
            </w:r>
          </w:p>
          <w:p w14:paraId="421B048D" w14:textId="288F7F26" w:rsidR="00592CD8" w:rsidRPr="00F12D99" w:rsidRDefault="00592CD8" w:rsidP="00F87C27">
            <w:pPr>
              <w:pStyle w:val="liste1"/>
              <w:rPr>
                <w:lang w:val="fr-CI"/>
              </w:rPr>
            </w:pPr>
            <w:r w:rsidRPr="00F12D99">
              <w:rPr>
                <w:lang w:val="fr-CI"/>
              </w:rPr>
              <w:t xml:space="preserve">Apporter </w:t>
            </w:r>
            <w:r>
              <w:rPr>
                <w:lang w:val="fr-CI"/>
              </w:rPr>
              <w:t xml:space="preserve">le paquet de service de conseil et de </w:t>
            </w:r>
            <w:r w:rsidRPr="00F12D99">
              <w:rPr>
                <w:lang w:val="fr-CI"/>
              </w:rPr>
              <w:t>soutien psychologique aux PVVIH (adulte, enfants et adolescents) dans le besoin dans l'ensemble des structures de PEC clinique et communautaire</w:t>
            </w:r>
          </w:p>
          <w:p w14:paraId="218A5CDB" w14:textId="5E4FFB1C" w:rsidR="00592CD8" w:rsidRPr="00F12D99" w:rsidRDefault="00592CD8" w:rsidP="00F87C27">
            <w:pPr>
              <w:pStyle w:val="liste1"/>
              <w:rPr>
                <w:lang w:val="fr-CI"/>
              </w:rPr>
            </w:pPr>
            <w:r w:rsidRPr="00F12D99">
              <w:rPr>
                <w:lang w:val="fr-CI"/>
              </w:rPr>
              <w:t>Enrôler les leaders religieux, les responsables de camps de prière et les praticiens de la médecine traditionnelle dans l'offre des services de soins et soutien aux PVVIH</w:t>
            </w:r>
          </w:p>
          <w:p w14:paraId="5F9E0D01" w14:textId="57388737" w:rsidR="00592CD8" w:rsidRDefault="00592CD8" w:rsidP="00F87C27">
            <w:pPr>
              <w:pStyle w:val="liste1"/>
              <w:rPr>
                <w:lang w:val="fr-CI"/>
              </w:rPr>
            </w:pPr>
            <w:r w:rsidRPr="00F12D99">
              <w:rPr>
                <w:lang w:val="fr-CI"/>
              </w:rPr>
              <w:t>Renforcer l'implication des parents dans la PEC des adolescents et des enfants</w:t>
            </w:r>
          </w:p>
          <w:p w14:paraId="3CC1654F" w14:textId="127DEDD9" w:rsidR="00AB286C" w:rsidRPr="00806742" w:rsidRDefault="00AB286C" w:rsidP="00AB286C">
            <w:pPr>
              <w:autoSpaceDE w:val="0"/>
              <w:autoSpaceDN w:val="0"/>
              <w:adjustRightInd w:val="0"/>
              <w:spacing w:after="0" w:line="240" w:lineRule="auto"/>
              <w:rPr>
                <w:b/>
                <w:bCs/>
                <w:iCs/>
                <w:color w:val="0070C0"/>
                <w:sz w:val="22"/>
                <w:szCs w:val="22"/>
              </w:rPr>
            </w:pPr>
            <w:r w:rsidRPr="00AB286C">
              <w:rPr>
                <w:b/>
                <w:bCs/>
                <w:iCs/>
                <w:sz w:val="22"/>
                <w:szCs w:val="22"/>
              </w:rPr>
              <w:t xml:space="preserve">Cf. </w:t>
            </w:r>
            <w:proofErr w:type="spellStart"/>
            <w:r w:rsidRPr="00AB286C">
              <w:rPr>
                <w:b/>
                <w:bCs/>
                <w:iCs/>
                <w:sz w:val="22"/>
                <w:szCs w:val="22"/>
              </w:rPr>
              <w:t>cartographie</w:t>
            </w:r>
            <w:proofErr w:type="spellEnd"/>
            <w:r w:rsidRPr="00AB286C">
              <w:rPr>
                <w:b/>
                <w:bCs/>
                <w:iCs/>
                <w:sz w:val="22"/>
                <w:szCs w:val="22"/>
              </w:rPr>
              <w:t xml:space="preserve"> de </w:t>
            </w:r>
            <w:proofErr w:type="spellStart"/>
            <w:r w:rsidRPr="00AB286C">
              <w:rPr>
                <w:b/>
                <w:bCs/>
                <w:iCs/>
                <w:sz w:val="22"/>
                <w:szCs w:val="22"/>
              </w:rPr>
              <w:t>l’offre</w:t>
            </w:r>
            <w:proofErr w:type="spellEnd"/>
            <w:r w:rsidRPr="00AB286C">
              <w:rPr>
                <w:b/>
                <w:bCs/>
                <w:iCs/>
                <w:sz w:val="22"/>
                <w:szCs w:val="22"/>
              </w:rPr>
              <w:t xml:space="preserve"> de services PEPFAR et FM </w:t>
            </w:r>
            <w:r w:rsidR="00557984" w:rsidRPr="00557984">
              <w:rPr>
                <w:i/>
                <w:sz w:val="22"/>
                <w:szCs w:val="22"/>
              </w:rPr>
              <w:t>(</w:t>
            </w:r>
            <w:proofErr w:type="spellStart"/>
            <w:r w:rsidR="00557984" w:rsidRPr="00557984">
              <w:rPr>
                <w:i/>
                <w:sz w:val="22"/>
                <w:szCs w:val="22"/>
              </w:rPr>
              <w:t>Annexe</w:t>
            </w:r>
            <w:proofErr w:type="spellEnd"/>
            <w:r w:rsidR="00557984" w:rsidRPr="00557984">
              <w:rPr>
                <w:i/>
                <w:sz w:val="22"/>
                <w:szCs w:val="22"/>
              </w:rPr>
              <w:t xml:space="preserve"> </w:t>
            </w:r>
            <w:r w:rsidR="00557984">
              <w:rPr>
                <w:i/>
                <w:sz w:val="22"/>
                <w:szCs w:val="22"/>
              </w:rPr>
              <w:t>27</w:t>
            </w:r>
            <w:r w:rsidR="00557984" w:rsidRPr="00557984">
              <w:rPr>
                <w:i/>
                <w:sz w:val="22"/>
                <w:szCs w:val="22"/>
              </w:rPr>
              <w:t>)</w:t>
            </w:r>
          </w:p>
          <w:p w14:paraId="6B8760B9" w14:textId="62B45F85" w:rsidR="00AB286C" w:rsidRPr="00AB286C" w:rsidRDefault="00AB286C" w:rsidP="00AB286C">
            <w:pPr>
              <w:autoSpaceDE w:val="0"/>
              <w:autoSpaceDN w:val="0"/>
              <w:adjustRightInd w:val="0"/>
              <w:spacing w:after="0" w:line="240" w:lineRule="auto"/>
              <w:rPr>
                <w:b/>
                <w:bCs/>
                <w:iCs/>
                <w:sz w:val="22"/>
                <w:szCs w:val="22"/>
              </w:rPr>
            </w:pPr>
          </w:p>
        </w:tc>
      </w:tr>
      <w:tr w:rsidR="002E4FBD" w:rsidRPr="0037522B" w14:paraId="4FA4B14C" w14:textId="77777777" w:rsidTr="00390EA4">
        <w:trPr>
          <w:trHeight w:val="288"/>
        </w:trPr>
        <w:tc>
          <w:tcPr>
            <w:tcW w:w="1662" w:type="dxa"/>
            <w:shd w:val="clear" w:color="auto" w:fill="F2F2F2"/>
            <w:vAlign w:val="center"/>
          </w:tcPr>
          <w:p w14:paraId="7E7A9D16" w14:textId="77777777" w:rsidR="002E4FBD" w:rsidRPr="007F7A64" w:rsidRDefault="002E4FBD" w:rsidP="00E80CEF">
            <w:pPr>
              <w:spacing w:after="0"/>
              <w:rPr>
                <w:b/>
              </w:rPr>
            </w:pPr>
            <w:r>
              <w:rPr>
                <w:b/>
                <w:lang w:bidi="fr-FR"/>
              </w:rPr>
              <w:lastRenderedPageBreak/>
              <w:t xml:space="preserve">Populations </w:t>
            </w:r>
            <w:proofErr w:type="spellStart"/>
            <w:r>
              <w:rPr>
                <w:b/>
                <w:lang w:bidi="fr-FR"/>
              </w:rPr>
              <w:t>prioritaires</w:t>
            </w:r>
            <w:proofErr w:type="spellEnd"/>
          </w:p>
        </w:tc>
        <w:tc>
          <w:tcPr>
            <w:tcW w:w="9138" w:type="dxa"/>
          </w:tcPr>
          <w:p w14:paraId="613A3825" w14:textId="77777777" w:rsidR="002E4FBD" w:rsidRPr="00DB5A50" w:rsidRDefault="002E4FBD" w:rsidP="004E1C7A">
            <w:pPr>
              <w:pStyle w:val="Texteformulaire"/>
              <w:rPr>
                <w:lang w:val="fr-FR"/>
              </w:rPr>
            </w:pPr>
            <w:r w:rsidRPr="00DB5A50">
              <w:rPr>
                <w:lang w:val="fr-FR"/>
              </w:rPr>
              <w:t>Ce module vise les populations suivantes :</w:t>
            </w:r>
          </w:p>
          <w:p w14:paraId="49BA97D3" w14:textId="77777777" w:rsidR="002E4FBD" w:rsidRPr="0029241D" w:rsidRDefault="002E4FBD" w:rsidP="004E1C7A">
            <w:pPr>
              <w:pStyle w:val="liste1"/>
            </w:pPr>
            <w:r w:rsidRPr="0029241D">
              <w:t xml:space="preserve">PVVIH </w:t>
            </w:r>
            <w:proofErr w:type="spellStart"/>
            <w:r w:rsidRPr="0029241D">
              <w:t>adultes</w:t>
            </w:r>
            <w:proofErr w:type="spellEnd"/>
            <w:r w:rsidRPr="0029241D">
              <w:t xml:space="preserve">, enfants et adolescents </w:t>
            </w:r>
            <w:r>
              <w:t xml:space="preserve"> </w:t>
            </w:r>
          </w:p>
          <w:p w14:paraId="45DA9CF5" w14:textId="27DC2E42" w:rsidR="00203A93" w:rsidRPr="00203A93" w:rsidRDefault="002E4FBD" w:rsidP="00203A93">
            <w:pPr>
              <w:pStyle w:val="liste1"/>
              <w:rPr>
                <w:lang w:val="fr-CI"/>
              </w:rPr>
            </w:pPr>
            <w:r>
              <w:rPr>
                <w:lang w:val="fr-CI"/>
              </w:rPr>
              <w:t>Patients</w:t>
            </w:r>
            <w:r w:rsidR="00203A93">
              <w:rPr>
                <w:lang w:val="fr-CI"/>
              </w:rPr>
              <w:t xml:space="preserve"> coinfectés</w:t>
            </w:r>
            <w:r>
              <w:rPr>
                <w:lang w:val="fr-CI"/>
              </w:rPr>
              <w:t xml:space="preserve"> VIH/Tuberculose </w:t>
            </w:r>
          </w:p>
          <w:p w14:paraId="5FCE3491" w14:textId="7711B6A6" w:rsidR="002E4FBD" w:rsidRPr="002E4FBD" w:rsidRDefault="002E4FBD" w:rsidP="004E1C7A">
            <w:pPr>
              <w:pStyle w:val="liste1"/>
              <w:rPr>
                <w:lang w:val="fr-CI"/>
              </w:rPr>
            </w:pPr>
            <w:r w:rsidRPr="0029241D">
              <w:rPr>
                <w:lang w:val="fr-CI"/>
              </w:rPr>
              <w:t>Populations spécifiques (</w:t>
            </w:r>
            <w:r w:rsidR="00203A93">
              <w:rPr>
                <w:lang w:val="fr-CI"/>
              </w:rPr>
              <w:t xml:space="preserve">Populations clés, vulnérables, </w:t>
            </w:r>
            <w:r w:rsidRPr="0029241D">
              <w:rPr>
                <w:lang w:val="fr-CI"/>
              </w:rPr>
              <w:t xml:space="preserve">femme enceintes …) </w:t>
            </w:r>
          </w:p>
          <w:p w14:paraId="40E94263" w14:textId="04C392E5" w:rsidR="002E4FBD" w:rsidRPr="002E4FBD" w:rsidRDefault="002E4FBD" w:rsidP="004E1C7A">
            <w:pPr>
              <w:pStyle w:val="liste1"/>
              <w:rPr>
                <w:lang w:val="fr-CI"/>
              </w:rPr>
            </w:pPr>
            <w:r w:rsidRPr="00750CA9">
              <w:rPr>
                <w:lang w:val="fr-FR"/>
              </w:rPr>
              <w:t xml:space="preserve">Orphelins et Enfants rendus vulnérables du fait du VIH (OEV) et famille </w:t>
            </w:r>
          </w:p>
        </w:tc>
      </w:tr>
      <w:tr w:rsidR="00C01C85" w:rsidRPr="0037522B" w14:paraId="6FA6D0F9" w14:textId="77777777" w:rsidTr="00390EA4">
        <w:trPr>
          <w:trHeight w:val="288"/>
        </w:trPr>
        <w:tc>
          <w:tcPr>
            <w:tcW w:w="1662" w:type="dxa"/>
            <w:shd w:val="clear" w:color="auto" w:fill="F2F2F2"/>
            <w:vAlign w:val="center"/>
          </w:tcPr>
          <w:p w14:paraId="7C328892" w14:textId="77777777" w:rsidR="00C01C85" w:rsidRDefault="00C01C85" w:rsidP="00E80CEF">
            <w:pPr>
              <w:spacing w:after="0"/>
              <w:rPr>
                <w:b/>
              </w:rPr>
            </w:pPr>
            <w:r>
              <w:rPr>
                <w:b/>
                <w:lang w:bidi="fr-FR"/>
              </w:rPr>
              <w:t xml:space="preserve">Obstacles et </w:t>
            </w:r>
            <w:proofErr w:type="spellStart"/>
            <w:r>
              <w:rPr>
                <w:b/>
                <w:lang w:bidi="fr-FR"/>
              </w:rPr>
              <w:t>inégalités</w:t>
            </w:r>
            <w:proofErr w:type="spellEnd"/>
          </w:p>
        </w:tc>
        <w:tc>
          <w:tcPr>
            <w:tcW w:w="9138" w:type="dxa"/>
          </w:tcPr>
          <w:p w14:paraId="79F46648" w14:textId="77777777" w:rsidR="009B027D" w:rsidRPr="00390EA4" w:rsidRDefault="009B027D" w:rsidP="006F6940">
            <w:pPr>
              <w:pStyle w:val="ListParagraph"/>
              <w:numPr>
                <w:ilvl w:val="0"/>
                <w:numId w:val="44"/>
              </w:numPr>
              <w:spacing w:after="0" w:line="240" w:lineRule="auto"/>
              <w:rPr>
                <w:b/>
                <w:sz w:val="22"/>
                <w:szCs w:val="22"/>
              </w:rPr>
            </w:pPr>
            <w:proofErr w:type="spellStart"/>
            <w:r w:rsidRPr="00390EA4">
              <w:rPr>
                <w:b/>
                <w:sz w:val="22"/>
                <w:szCs w:val="22"/>
              </w:rPr>
              <w:t>En</w:t>
            </w:r>
            <w:proofErr w:type="spellEnd"/>
            <w:r w:rsidRPr="00390EA4">
              <w:rPr>
                <w:b/>
                <w:sz w:val="22"/>
                <w:szCs w:val="22"/>
              </w:rPr>
              <w:t xml:space="preserve"> lien avec les droits </w:t>
            </w:r>
            <w:proofErr w:type="spellStart"/>
            <w:r w:rsidRPr="00390EA4">
              <w:rPr>
                <w:b/>
                <w:sz w:val="22"/>
                <w:szCs w:val="22"/>
              </w:rPr>
              <w:t>humains</w:t>
            </w:r>
            <w:proofErr w:type="spellEnd"/>
            <w:r w:rsidRPr="00390EA4">
              <w:rPr>
                <w:b/>
                <w:sz w:val="22"/>
                <w:szCs w:val="22"/>
              </w:rPr>
              <w:t xml:space="preserve"> </w:t>
            </w:r>
          </w:p>
          <w:p w14:paraId="3004E0FA" w14:textId="77777777" w:rsidR="009B027D" w:rsidRPr="00390EA4" w:rsidRDefault="009B027D" w:rsidP="009B027D">
            <w:pPr>
              <w:rPr>
                <w:sz w:val="22"/>
                <w:szCs w:val="22"/>
              </w:rPr>
            </w:pPr>
            <w:r w:rsidRPr="00390EA4">
              <w:rPr>
                <w:sz w:val="22"/>
                <w:szCs w:val="22"/>
              </w:rPr>
              <w:t xml:space="preserve">Nous </w:t>
            </w:r>
            <w:proofErr w:type="spellStart"/>
            <w:r w:rsidRPr="00390EA4">
              <w:rPr>
                <w:sz w:val="22"/>
                <w:szCs w:val="22"/>
              </w:rPr>
              <w:t>notons</w:t>
            </w:r>
            <w:proofErr w:type="spellEnd"/>
            <w:r w:rsidRPr="00390EA4">
              <w:rPr>
                <w:sz w:val="22"/>
                <w:szCs w:val="22"/>
              </w:rPr>
              <w:t xml:space="preserve"> un </w:t>
            </w:r>
            <w:proofErr w:type="spellStart"/>
            <w:r w:rsidRPr="00390EA4">
              <w:rPr>
                <w:sz w:val="22"/>
                <w:szCs w:val="22"/>
              </w:rPr>
              <w:t>faible</w:t>
            </w:r>
            <w:proofErr w:type="spellEnd"/>
            <w:r w:rsidRPr="00390EA4">
              <w:rPr>
                <w:sz w:val="22"/>
                <w:szCs w:val="22"/>
              </w:rPr>
              <w:t xml:space="preserve"> </w:t>
            </w:r>
            <w:proofErr w:type="spellStart"/>
            <w:r w:rsidRPr="00390EA4">
              <w:rPr>
                <w:sz w:val="22"/>
                <w:szCs w:val="22"/>
              </w:rPr>
              <w:t>accès</w:t>
            </w:r>
            <w:proofErr w:type="spellEnd"/>
            <w:r w:rsidRPr="00390EA4">
              <w:rPr>
                <w:sz w:val="22"/>
                <w:szCs w:val="22"/>
              </w:rPr>
              <w:t xml:space="preserve"> des populations </w:t>
            </w:r>
            <w:proofErr w:type="spellStart"/>
            <w:r w:rsidRPr="00390EA4">
              <w:rPr>
                <w:sz w:val="22"/>
                <w:szCs w:val="22"/>
              </w:rPr>
              <w:t>clés</w:t>
            </w:r>
            <w:proofErr w:type="spellEnd"/>
            <w:r w:rsidRPr="00390EA4">
              <w:rPr>
                <w:sz w:val="22"/>
                <w:szCs w:val="22"/>
              </w:rPr>
              <w:t xml:space="preserve"> (HSH, TS et UD) du à la </w:t>
            </w:r>
            <w:proofErr w:type="spellStart"/>
            <w:r w:rsidRPr="00390EA4">
              <w:rPr>
                <w:sz w:val="22"/>
                <w:szCs w:val="22"/>
              </w:rPr>
              <w:t>stigmatisation</w:t>
            </w:r>
            <w:proofErr w:type="spellEnd"/>
            <w:r w:rsidRPr="00390EA4">
              <w:rPr>
                <w:sz w:val="22"/>
                <w:szCs w:val="22"/>
              </w:rPr>
              <w:t xml:space="preserve"> et la discrimination </w:t>
            </w:r>
            <w:proofErr w:type="spellStart"/>
            <w:r w:rsidRPr="00390EA4">
              <w:rPr>
                <w:sz w:val="22"/>
                <w:szCs w:val="22"/>
              </w:rPr>
              <w:t>entrainant</w:t>
            </w:r>
            <w:proofErr w:type="spellEnd"/>
            <w:r w:rsidRPr="00390EA4">
              <w:rPr>
                <w:sz w:val="22"/>
                <w:szCs w:val="22"/>
              </w:rPr>
              <w:t xml:space="preserve"> </w:t>
            </w:r>
            <w:proofErr w:type="spellStart"/>
            <w:r w:rsidRPr="00390EA4">
              <w:rPr>
                <w:sz w:val="22"/>
                <w:szCs w:val="22"/>
              </w:rPr>
              <w:t>leur</w:t>
            </w:r>
            <w:proofErr w:type="spellEnd"/>
            <w:r w:rsidRPr="00390EA4">
              <w:rPr>
                <w:sz w:val="22"/>
                <w:szCs w:val="22"/>
              </w:rPr>
              <w:t xml:space="preserve"> </w:t>
            </w:r>
            <w:proofErr w:type="spellStart"/>
            <w:r w:rsidRPr="00390EA4">
              <w:rPr>
                <w:sz w:val="22"/>
                <w:szCs w:val="22"/>
              </w:rPr>
              <w:t>faible</w:t>
            </w:r>
            <w:proofErr w:type="spellEnd"/>
            <w:r w:rsidRPr="00390EA4">
              <w:rPr>
                <w:sz w:val="22"/>
                <w:szCs w:val="22"/>
              </w:rPr>
              <w:t xml:space="preserve"> </w:t>
            </w:r>
            <w:proofErr w:type="spellStart"/>
            <w:r w:rsidRPr="00390EA4">
              <w:rPr>
                <w:sz w:val="22"/>
                <w:szCs w:val="22"/>
              </w:rPr>
              <w:t>rétention</w:t>
            </w:r>
            <w:proofErr w:type="spellEnd"/>
            <w:r w:rsidRPr="00390EA4">
              <w:rPr>
                <w:sz w:val="22"/>
                <w:szCs w:val="22"/>
              </w:rPr>
              <w:t xml:space="preserve"> dans les </w:t>
            </w:r>
            <w:proofErr w:type="spellStart"/>
            <w:r w:rsidRPr="00390EA4">
              <w:rPr>
                <w:sz w:val="22"/>
                <w:szCs w:val="22"/>
              </w:rPr>
              <w:t>soins</w:t>
            </w:r>
            <w:proofErr w:type="spellEnd"/>
            <w:r w:rsidRPr="00390EA4">
              <w:rPr>
                <w:sz w:val="22"/>
                <w:szCs w:val="22"/>
              </w:rPr>
              <w:t xml:space="preserve">   </w:t>
            </w:r>
          </w:p>
          <w:p w14:paraId="4637A45F" w14:textId="77777777" w:rsidR="009B027D" w:rsidRPr="00390EA4" w:rsidRDefault="009B027D" w:rsidP="006F6940">
            <w:pPr>
              <w:pStyle w:val="ListParagraph"/>
              <w:numPr>
                <w:ilvl w:val="0"/>
                <w:numId w:val="44"/>
              </w:numPr>
              <w:spacing w:after="0" w:line="240" w:lineRule="auto"/>
              <w:rPr>
                <w:b/>
                <w:sz w:val="22"/>
                <w:szCs w:val="22"/>
              </w:rPr>
            </w:pPr>
            <w:proofErr w:type="spellStart"/>
            <w:r w:rsidRPr="00390EA4">
              <w:rPr>
                <w:b/>
                <w:sz w:val="22"/>
                <w:szCs w:val="22"/>
              </w:rPr>
              <w:t>En</w:t>
            </w:r>
            <w:proofErr w:type="spellEnd"/>
            <w:r w:rsidRPr="00390EA4">
              <w:rPr>
                <w:b/>
                <w:sz w:val="22"/>
                <w:szCs w:val="22"/>
              </w:rPr>
              <w:t xml:space="preserve"> lien avec </w:t>
            </w:r>
            <w:proofErr w:type="spellStart"/>
            <w:r w:rsidRPr="00390EA4">
              <w:rPr>
                <w:b/>
                <w:sz w:val="22"/>
                <w:szCs w:val="22"/>
              </w:rPr>
              <w:t>l’âge</w:t>
            </w:r>
            <w:proofErr w:type="spellEnd"/>
          </w:p>
          <w:p w14:paraId="5FA9AA46" w14:textId="77777777" w:rsidR="009B027D" w:rsidRPr="00390EA4" w:rsidRDefault="009B027D" w:rsidP="009B027D">
            <w:pPr>
              <w:rPr>
                <w:sz w:val="22"/>
                <w:szCs w:val="22"/>
              </w:rPr>
            </w:pPr>
            <w:r w:rsidRPr="00390EA4">
              <w:rPr>
                <w:sz w:val="22"/>
                <w:szCs w:val="22"/>
              </w:rPr>
              <w:lastRenderedPageBreak/>
              <w:t xml:space="preserve">Les enfants et les adolescents </w:t>
            </w:r>
            <w:proofErr w:type="spellStart"/>
            <w:r w:rsidRPr="00390EA4">
              <w:rPr>
                <w:sz w:val="22"/>
                <w:szCs w:val="22"/>
              </w:rPr>
              <w:t>ont</w:t>
            </w:r>
            <w:proofErr w:type="spellEnd"/>
            <w:r w:rsidRPr="00390EA4">
              <w:rPr>
                <w:sz w:val="22"/>
                <w:szCs w:val="22"/>
              </w:rPr>
              <w:t xml:space="preserve"> </w:t>
            </w:r>
            <w:proofErr w:type="spellStart"/>
            <w:r w:rsidRPr="00390EA4">
              <w:rPr>
                <w:sz w:val="22"/>
                <w:szCs w:val="22"/>
              </w:rPr>
              <w:t>toujours</w:t>
            </w:r>
            <w:proofErr w:type="spellEnd"/>
            <w:r w:rsidRPr="00390EA4">
              <w:rPr>
                <w:sz w:val="22"/>
                <w:szCs w:val="22"/>
              </w:rPr>
              <w:t xml:space="preserve"> </w:t>
            </w:r>
            <w:proofErr w:type="spellStart"/>
            <w:r w:rsidRPr="00390EA4">
              <w:rPr>
                <w:sz w:val="22"/>
                <w:szCs w:val="22"/>
              </w:rPr>
              <w:t>été</w:t>
            </w:r>
            <w:proofErr w:type="spellEnd"/>
            <w:r w:rsidRPr="00390EA4">
              <w:rPr>
                <w:sz w:val="22"/>
                <w:szCs w:val="22"/>
              </w:rPr>
              <w:t xml:space="preserve"> le </w:t>
            </w:r>
            <w:proofErr w:type="spellStart"/>
            <w:r w:rsidRPr="00390EA4">
              <w:rPr>
                <w:sz w:val="22"/>
                <w:szCs w:val="22"/>
              </w:rPr>
              <w:t>maillon</w:t>
            </w:r>
            <w:proofErr w:type="spellEnd"/>
            <w:r w:rsidRPr="00390EA4">
              <w:rPr>
                <w:sz w:val="22"/>
                <w:szCs w:val="22"/>
              </w:rPr>
              <w:t xml:space="preserve"> </w:t>
            </w:r>
            <w:proofErr w:type="spellStart"/>
            <w:r w:rsidRPr="00390EA4">
              <w:rPr>
                <w:sz w:val="22"/>
                <w:szCs w:val="22"/>
              </w:rPr>
              <w:t>faible</w:t>
            </w:r>
            <w:proofErr w:type="spellEnd"/>
            <w:r w:rsidRPr="00390EA4">
              <w:rPr>
                <w:sz w:val="22"/>
                <w:szCs w:val="22"/>
              </w:rPr>
              <w:t xml:space="preserve"> de la PEC car </w:t>
            </w:r>
            <w:proofErr w:type="spellStart"/>
            <w:r w:rsidRPr="00390EA4">
              <w:rPr>
                <w:sz w:val="22"/>
                <w:szCs w:val="22"/>
              </w:rPr>
              <w:t>leur</w:t>
            </w:r>
            <w:proofErr w:type="spellEnd"/>
            <w:r w:rsidRPr="00390EA4">
              <w:rPr>
                <w:sz w:val="22"/>
                <w:szCs w:val="22"/>
              </w:rPr>
              <w:t xml:space="preserve"> PEC </w:t>
            </w:r>
            <w:proofErr w:type="spellStart"/>
            <w:r w:rsidRPr="00390EA4">
              <w:rPr>
                <w:sz w:val="22"/>
                <w:szCs w:val="22"/>
              </w:rPr>
              <w:t>dépend</w:t>
            </w:r>
            <w:proofErr w:type="spellEnd"/>
            <w:r w:rsidRPr="00390EA4">
              <w:rPr>
                <w:sz w:val="22"/>
                <w:szCs w:val="22"/>
              </w:rPr>
              <w:t xml:space="preserve"> des </w:t>
            </w:r>
            <w:proofErr w:type="spellStart"/>
            <w:r w:rsidRPr="00390EA4">
              <w:rPr>
                <w:sz w:val="22"/>
                <w:szCs w:val="22"/>
              </w:rPr>
              <w:t>adultes</w:t>
            </w:r>
            <w:proofErr w:type="spellEnd"/>
            <w:r w:rsidRPr="00390EA4">
              <w:rPr>
                <w:sz w:val="22"/>
                <w:szCs w:val="22"/>
              </w:rPr>
              <w:t xml:space="preserve">.  </w:t>
            </w:r>
            <w:proofErr w:type="spellStart"/>
            <w:r w:rsidRPr="00390EA4">
              <w:rPr>
                <w:sz w:val="22"/>
                <w:szCs w:val="22"/>
              </w:rPr>
              <w:t>Leur</w:t>
            </w:r>
            <w:proofErr w:type="spellEnd"/>
            <w:r w:rsidRPr="00390EA4">
              <w:rPr>
                <w:sz w:val="22"/>
                <w:szCs w:val="22"/>
              </w:rPr>
              <w:t xml:space="preserve"> </w:t>
            </w:r>
            <w:proofErr w:type="spellStart"/>
            <w:r w:rsidRPr="00390EA4">
              <w:rPr>
                <w:sz w:val="22"/>
                <w:szCs w:val="22"/>
              </w:rPr>
              <w:t>paquet</w:t>
            </w:r>
            <w:proofErr w:type="spellEnd"/>
            <w:r w:rsidRPr="00390EA4">
              <w:rPr>
                <w:sz w:val="22"/>
                <w:szCs w:val="22"/>
              </w:rPr>
              <w:t xml:space="preserve"> de service </w:t>
            </w:r>
            <w:proofErr w:type="spellStart"/>
            <w:r w:rsidRPr="00390EA4">
              <w:rPr>
                <w:sz w:val="22"/>
                <w:szCs w:val="22"/>
              </w:rPr>
              <w:t>n’est</w:t>
            </w:r>
            <w:proofErr w:type="spellEnd"/>
            <w:r w:rsidRPr="00390EA4">
              <w:rPr>
                <w:sz w:val="22"/>
                <w:szCs w:val="22"/>
              </w:rPr>
              <w:t xml:space="preserve"> pas </w:t>
            </w:r>
            <w:proofErr w:type="spellStart"/>
            <w:r w:rsidRPr="00390EA4">
              <w:rPr>
                <w:sz w:val="22"/>
                <w:szCs w:val="22"/>
              </w:rPr>
              <w:t>souvent</w:t>
            </w:r>
            <w:proofErr w:type="spellEnd"/>
            <w:r w:rsidRPr="00390EA4">
              <w:rPr>
                <w:sz w:val="22"/>
                <w:szCs w:val="22"/>
              </w:rPr>
              <w:t xml:space="preserve"> </w:t>
            </w:r>
            <w:proofErr w:type="spellStart"/>
            <w:r w:rsidRPr="00390EA4">
              <w:rPr>
                <w:sz w:val="22"/>
                <w:szCs w:val="22"/>
              </w:rPr>
              <w:t>conforme</w:t>
            </w:r>
            <w:proofErr w:type="spellEnd"/>
            <w:r w:rsidRPr="00390EA4">
              <w:rPr>
                <w:sz w:val="22"/>
                <w:szCs w:val="22"/>
              </w:rPr>
              <w:t xml:space="preserve"> aux </w:t>
            </w:r>
            <w:proofErr w:type="spellStart"/>
            <w:r w:rsidRPr="00390EA4">
              <w:rPr>
                <w:sz w:val="22"/>
                <w:szCs w:val="22"/>
              </w:rPr>
              <w:t>attentes</w:t>
            </w:r>
            <w:proofErr w:type="spellEnd"/>
            <w:r w:rsidRPr="00390EA4">
              <w:rPr>
                <w:sz w:val="22"/>
                <w:szCs w:val="22"/>
              </w:rPr>
              <w:t xml:space="preserve"> et </w:t>
            </w:r>
            <w:proofErr w:type="spellStart"/>
            <w:r w:rsidRPr="00390EA4">
              <w:rPr>
                <w:sz w:val="22"/>
                <w:szCs w:val="22"/>
              </w:rPr>
              <w:t>adapté</w:t>
            </w:r>
            <w:proofErr w:type="spellEnd"/>
            <w:r w:rsidRPr="00390EA4">
              <w:rPr>
                <w:sz w:val="22"/>
                <w:szCs w:val="22"/>
              </w:rPr>
              <w:t xml:space="preserve"> à </w:t>
            </w:r>
            <w:proofErr w:type="spellStart"/>
            <w:r w:rsidRPr="00390EA4">
              <w:rPr>
                <w:sz w:val="22"/>
                <w:szCs w:val="22"/>
              </w:rPr>
              <w:t>leurs</w:t>
            </w:r>
            <w:proofErr w:type="spellEnd"/>
            <w:r w:rsidRPr="00390EA4">
              <w:rPr>
                <w:sz w:val="22"/>
                <w:szCs w:val="22"/>
              </w:rPr>
              <w:t xml:space="preserve"> </w:t>
            </w:r>
            <w:proofErr w:type="spellStart"/>
            <w:r w:rsidRPr="00390EA4">
              <w:rPr>
                <w:sz w:val="22"/>
                <w:szCs w:val="22"/>
              </w:rPr>
              <w:t>besoins</w:t>
            </w:r>
            <w:proofErr w:type="spellEnd"/>
            <w:r w:rsidRPr="00390EA4">
              <w:rPr>
                <w:sz w:val="22"/>
                <w:szCs w:val="22"/>
              </w:rPr>
              <w:t xml:space="preserve"> surtout pour les adolescents</w:t>
            </w:r>
          </w:p>
          <w:p w14:paraId="0AF63080" w14:textId="77777777" w:rsidR="009B027D" w:rsidRPr="00390EA4" w:rsidRDefault="009B027D" w:rsidP="006F6940">
            <w:pPr>
              <w:pStyle w:val="ListParagraph"/>
              <w:numPr>
                <w:ilvl w:val="0"/>
                <w:numId w:val="44"/>
              </w:numPr>
              <w:spacing w:after="0" w:line="240" w:lineRule="auto"/>
              <w:rPr>
                <w:b/>
                <w:sz w:val="22"/>
                <w:szCs w:val="22"/>
              </w:rPr>
            </w:pPr>
            <w:proofErr w:type="spellStart"/>
            <w:r w:rsidRPr="00390EA4">
              <w:rPr>
                <w:b/>
                <w:sz w:val="22"/>
                <w:szCs w:val="22"/>
              </w:rPr>
              <w:t>En</w:t>
            </w:r>
            <w:proofErr w:type="spellEnd"/>
            <w:r w:rsidRPr="00390EA4">
              <w:rPr>
                <w:b/>
                <w:sz w:val="22"/>
                <w:szCs w:val="22"/>
              </w:rPr>
              <w:t xml:space="preserve"> lien avec le </w:t>
            </w:r>
            <w:proofErr w:type="spellStart"/>
            <w:r w:rsidRPr="00390EA4">
              <w:rPr>
                <w:b/>
                <w:sz w:val="22"/>
                <w:szCs w:val="22"/>
              </w:rPr>
              <w:t>financement</w:t>
            </w:r>
            <w:proofErr w:type="spellEnd"/>
            <w:r w:rsidRPr="00390EA4">
              <w:rPr>
                <w:b/>
                <w:sz w:val="22"/>
                <w:szCs w:val="22"/>
              </w:rPr>
              <w:t xml:space="preserve"> des interventions de </w:t>
            </w:r>
            <w:proofErr w:type="spellStart"/>
            <w:r w:rsidRPr="00390EA4">
              <w:rPr>
                <w:b/>
                <w:sz w:val="22"/>
                <w:szCs w:val="22"/>
              </w:rPr>
              <w:t>soins</w:t>
            </w:r>
            <w:proofErr w:type="spellEnd"/>
            <w:r w:rsidRPr="00390EA4">
              <w:rPr>
                <w:b/>
                <w:sz w:val="22"/>
                <w:szCs w:val="22"/>
              </w:rPr>
              <w:t xml:space="preserve"> et </w:t>
            </w:r>
            <w:proofErr w:type="spellStart"/>
            <w:r w:rsidRPr="00390EA4">
              <w:rPr>
                <w:b/>
                <w:sz w:val="22"/>
                <w:szCs w:val="22"/>
              </w:rPr>
              <w:t>soutien</w:t>
            </w:r>
            <w:proofErr w:type="spellEnd"/>
          </w:p>
          <w:p w14:paraId="21AF55A6" w14:textId="77777777" w:rsidR="009B027D" w:rsidRPr="00390EA4" w:rsidRDefault="009B027D" w:rsidP="009B027D">
            <w:pPr>
              <w:rPr>
                <w:sz w:val="22"/>
                <w:szCs w:val="22"/>
              </w:rPr>
            </w:pPr>
            <w:r w:rsidRPr="00390EA4">
              <w:rPr>
                <w:sz w:val="22"/>
                <w:szCs w:val="22"/>
              </w:rPr>
              <w:t xml:space="preserve">On note </w:t>
            </w:r>
            <w:proofErr w:type="spellStart"/>
            <w:r w:rsidRPr="00390EA4">
              <w:rPr>
                <w:sz w:val="22"/>
                <w:szCs w:val="22"/>
              </w:rPr>
              <w:t>une</w:t>
            </w:r>
            <w:proofErr w:type="spellEnd"/>
            <w:r w:rsidRPr="00390EA4">
              <w:rPr>
                <w:sz w:val="22"/>
                <w:szCs w:val="22"/>
              </w:rPr>
              <w:t xml:space="preserve"> </w:t>
            </w:r>
            <w:proofErr w:type="spellStart"/>
            <w:r w:rsidRPr="00390EA4">
              <w:rPr>
                <w:sz w:val="22"/>
                <w:szCs w:val="22"/>
              </w:rPr>
              <w:t>insuffisance</w:t>
            </w:r>
            <w:proofErr w:type="spellEnd"/>
            <w:r w:rsidRPr="00390EA4">
              <w:rPr>
                <w:sz w:val="22"/>
                <w:szCs w:val="22"/>
              </w:rPr>
              <w:t xml:space="preserve"> de </w:t>
            </w:r>
            <w:proofErr w:type="spellStart"/>
            <w:r w:rsidRPr="00390EA4">
              <w:rPr>
                <w:sz w:val="22"/>
                <w:szCs w:val="22"/>
              </w:rPr>
              <w:t>financement</w:t>
            </w:r>
            <w:proofErr w:type="spellEnd"/>
            <w:r w:rsidRPr="00390EA4">
              <w:rPr>
                <w:sz w:val="22"/>
                <w:szCs w:val="22"/>
              </w:rPr>
              <w:t xml:space="preserve"> des interventions de </w:t>
            </w:r>
            <w:proofErr w:type="spellStart"/>
            <w:r w:rsidRPr="00390EA4">
              <w:rPr>
                <w:sz w:val="22"/>
                <w:szCs w:val="22"/>
              </w:rPr>
              <w:t>soins</w:t>
            </w:r>
            <w:proofErr w:type="spellEnd"/>
            <w:r w:rsidRPr="00390EA4">
              <w:rPr>
                <w:sz w:val="22"/>
                <w:szCs w:val="22"/>
              </w:rPr>
              <w:t xml:space="preserve"> et </w:t>
            </w:r>
            <w:proofErr w:type="spellStart"/>
            <w:r w:rsidRPr="00390EA4">
              <w:rPr>
                <w:sz w:val="22"/>
                <w:szCs w:val="22"/>
              </w:rPr>
              <w:t>soutien</w:t>
            </w:r>
            <w:proofErr w:type="spellEnd"/>
            <w:r w:rsidRPr="00390EA4">
              <w:rPr>
                <w:sz w:val="22"/>
                <w:szCs w:val="22"/>
              </w:rPr>
              <w:t xml:space="preserve"> à cause de la </w:t>
            </w:r>
            <w:proofErr w:type="spellStart"/>
            <w:r w:rsidRPr="00390EA4">
              <w:rPr>
                <w:sz w:val="22"/>
                <w:szCs w:val="22"/>
              </w:rPr>
              <w:t>méconnaissance</w:t>
            </w:r>
            <w:proofErr w:type="spellEnd"/>
            <w:r w:rsidRPr="00390EA4">
              <w:rPr>
                <w:sz w:val="22"/>
                <w:szCs w:val="22"/>
              </w:rPr>
              <w:t xml:space="preserve"> des </w:t>
            </w:r>
            <w:proofErr w:type="spellStart"/>
            <w:r w:rsidRPr="00390EA4">
              <w:rPr>
                <w:sz w:val="22"/>
                <w:szCs w:val="22"/>
              </w:rPr>
              <w:t>soins</w:t>
            </w:r>
            <w:proofErr w:type="spellEnd"/>
            <w:r w:rsidRPr="00390EA4">
              <w:rPr>
                <w:sz w:val="22"/>
                <w:szCs w:val="22"/>
              </w:rPr>
              <w:t xml:space="preserve"> et </w:t>
            </w:r>
            <w:proofErr w:type="spellStart"/>
            <w:r w:rsidRPr="00390EA4">
              <w:rPr>
                <w:sz w:val="22"/>
                <w:szCs w:val="22"/>
              </w:rPr>
              <w:t>soutien</w:t>
            </w:r>
            <w:proofErr w:type="spellEnd"/>
            <w:r w:rsidRPr="00390EA4">
              <w:rPr>
                <w:sz w:val="22"/>
                <w:szCs w:val="22"/>
              </w:rPr>
              <w:t xml:space="preserve"> et </w:t>
            </w:r>
            <w:proofErr w:type="spellStart"/>
            <w:r w:rsidRPr="00390EA4">
              <w:rPr>
                <w:sz w:val="22"/>
                <w:szCs w:val="22"/>
              </w:rPr>
              <w:t>l’importance</w:t>
            </w:r>
            <w:proofErr w:type="spellEnd"/>
            <w:r w:rsidRPr="00390EA4">
              <w:rPr>
                <w:sz w:val="22"/>
                <w:szCs w:val="22"/>
              </w:rPr>
              <w:t xml:space="preserve"> de </w:t>
            </w:r>
            <w:proofErr w:type="spellStart"/>
            <w:r w:rsidRPr="00390EA4">
              <w:rPr>
                <w:sz w:val="22"/>
                <w:szCs w:val="22"/>
              </w:rPr>
              <w:t>leur</w:t>
            </w:r>
            <w:proofErr w:type="spellEnd"/>
            <w:r w:rsidRPr="00390EA4">
              <w:rPr>
                <w:sz w:val="22"/>
                <w:szCs w:val="22"/>
              </w:rPr>
              <w:t xml:space="preserve"> impact sur la </w:t>
            </w:r>
            <w:proofErr w:type="spellStart"/>
            <w:r w:rsidRPr="00390EA4">
              <w:rPr>
                <w:sz w:val="22"/>
                <w:szCs w:val="22"/>
              </w:rPr>
              <w:t>rétention</w:t>
            </w:r>
            <w:proofErr w:type="spellEnd"/>
            <w:r w:rsidRPr="00390EA4">
              <w:rPr>
                <w:sz w:val="22"/>
                <w:szCs w:val="22"/>
              </w:rPr>
              <w:t xml:space="preserve"> durable des patients dans les </w:t>
            </w:r>
            <w:proofErr w:type="spellStart"/>
            <w:r w:rsidRPr="00390EA4">
              <w:rPr>
                <w:sz w:val="22"/>
                <w:szCs w:val="22"/>
              </w:rPr>
              <w:t>soins</w:t>
            </w:r>
            <w:proofErr w:type="spellEnd"/>
          </w:p>
          <w:p w14:paraId="5F01C0CE" w14:textId="77777777" w:rsidR="009B027D" w:rsidRPr="00390EA4" w:rsidRDefault="009B027D" w:rsidP="006F6940">
            <w:pPr>
              <w:numPr>
                <w:ilvl w:val="0"/>
                <w:numId w:val="32"/>
              </w:numPr>
              <w:spacing w:after="0" w:line="240" w:lineRule="auto"/>
              <w:contextualSpacing/>
              <w:jc w:val="both"/>
              <w:rPr>
                <w:b/>
                <w:bCs/>
                <w:sz w:val="22"/>
                <w:szCs w:val="22"/>
              </w:rPr>
            </w:pPr>
            <w:proofErr w:type="spellStart"/>
            <w:r w:rsidRPr="00390EA4">
              <w:rPr>
                <w:rFonts w:ascii="Arial" w:hAnsi="Arial"/>
                <w:b/>
                <w:bCs/>
                <w:sz w:val="22"/>
                <w:szCs w:val="22"/>
              </w:rPr>
              <w:t>En</w:t>
            </w:r>
            <w:proofErr w:type="spellEnd"/>
            <w:r w:rsidRPr="00390EA4">
              <w:rPr>
                <w:rFonts w:ascii="Arial" w:hAnsi="Arial"/>
                <w:b/>
                <w:bCs/>
                <w:sz w:val="22"/>
                <w:szCs w:val="22"/>
              </w:rPr>
              <w:t xml:space="preserve"> lien avec la </w:t>
            </w:r>
            <w:proofErr w:type="spellStart"/>
            <w:r w:rsidRPr="00390EA4">
              <w:rPr>
                <w:rFonts w:ascii="Arial" w:hAnsi="Arial"/>
                <w:b/>
                <w:bCs/>
                <w:sz w:val="22"/>
                <w:szCs w:val="22"/>
              </w:rPr>
              <w:t>rétention</w:t>
            </w:r>
            <w:proofErr w:type="spellEnd"/>
            <w:r w:rsidRPr="00390EA4">
              <w:rPr>
                <w:rFonts w:ascii="Arial" w:hAnsi="Arial"/>
                <w:b/>
                <w:bCs/>
                <w:sz w:val="22"/>
                <w:szCs w:val="22"/>
              </w:rPr>
              <w:t xml:space="preserve"> durable des PVVIH dans les </w:t>
            </w:r>
            <w:proofErr w:type="spellStart"/>
            <w:r w:rsidRPr="00390EA4">
              <w:rPr>
                <w:rFonts w:ascii="Arial" w:hAnsi="Arial"/>
                <w:b/>
                <w:bCs/>
                <w:sz w:val="22"/>
                <w:szCs w:val="22"/>
              </w:rPr>
              <w:t>soins</w:t>
            </w:r>
            <w:proofErr w:type="spellEnd"/>
            <w:r w:rsidRPr="00390EA4">
              <w:rPr>
                <w:rFonts w:ascii="Arial" w:hAnsi="Arial"/>
                <w:b/>
                <w:bCs/>
                <w:sz w:val="22"/>
                <w:szCs w:val="22"/>
              </w:rPr>
              <w:t xml:space="preserve"> </w:t>
            </w:r>
          </w:p>
          <w:p w14:paraId="614E7F6B" w14:textId="77777777" w:rsidR="009B027D" w:rsidRPr="00390EA4" w:rsidRDefault="009B027D" w:rsidP="009B027D">
            <w:pPr>
              <w:contextualSpacing/>
              <w:jc w:val="both"/>
              <w:rPr>
                <w:sz w:val="22"/>
                <w:szCs w:val="22"/>
              </w:rPr>
            </w:pPr>
            <w:r w:rsidRPr="00390EA4">
              <w:rPr>
                <w:rFonts w:ascii="Arial" w:hAnsi="Arial"/>
                <w:sz w:val="22"/>
                <w:szCs w:val="22"/>
              </w:rPr>
              <w:t xml:space="preserve">Du fait de </w:t>
            </w:r>
            <w:proofErr w:type="spellStart"/>
            <w:r w:rsidRPr="00390EA4">
              <w:rPr>
                <w:rFonts w:ascii="Arial" w:hAnsi="Arial"/>
                <w:sz w:val="22"/>
                <w:szCs w:val="22"/>
              </w:rPr>
              <w:t>l’insuffisance</w:t>
            </w:r>
            <w:proofErr w:type="spellEnd"/>
            <w:r w:rsidRPr="00390EA4">
              <w:rPr>
                <w:rFonts w:ascii="Arial" w:hAnsi="Arial"/>
                <w:sz w:val="22"/>
                <w:szCs w:val="22"/>
              </w:rPr>
              <w:t xml:space="preserve"> de </w:t>
            </w:r>
            <w:proofErr w:type="spellStart"/>
            <w:r w:rsidRPr="00390EA4">
              <w:rPr>
                <w:rFonts w:ascii="Arial" w:hAnsi="Arial"/>
                <w:sz w:val="22"/>
                <w:szCs w:val="22"/>
              </w:rPr>
              <w:t>maintien</w:t>
            </w:r>
            <w:proofErr w:type="spellEnd"/>
            <w:r w:rsidRPr="00390EA4">
              <w:rPr>
                <w:rFonts w:ascii="Arial" w:hAnsi="Arial"/>
                <w:sz w:val="22"/>
                <w:szCs w:val="22"/>
              </w:rPr>
              <w:t xml:space="preserve"> durable des PVVIH dans les </w:t>
            </w:r>
            <w:proofErr w:type="spellStart"/>
            <w:r w:rsidRPr="00390EA4">
              <w:rPr>
                <w:rFonts w:ascii="Arial" w:hAnsi="Arial"/>
                <w:sz w:val="22"/>
                <w:szCs w:val="22"/>
              </w:rPr>
              <w:t>soins</w:t>
            </w:r>
            <w:proofErr w:type="spellEnd"/>
            <w:r w:rsidRPr="00390EA4">
              <w:rPr>
                <w:rFonts w:ascii="Arial" w:hAnsi="Arial"/>
                <w:sz w:val="22"/>
                <w:szCs w:val="22"/>
              </w:rPr>
              <w:t xml:space="preserve">, on note </w:t>
            </w:r>
            <w:proofErr w:type="spellStart"/>
            <w:r w:rsidRPr="00390EA4">
              <w:rPr>
                <w:rFonts w:ascii="Arial" w:hAnsi="Arial"/>
                <w:sz w:val="22"/>
                <w:szCs w:val="22"/>
              </w:rPr>
              <w:t>une</w:t>
            </w:r>
            <w:proofErr w:type="spellEnd"/>
            <w:r w:rsidRPr="00390EA4">
              <w:rPr>
                <w:rFonts w:ascii="Arial" w:hAnsi="Arial"/>
                <w:sz w:val="22"/>
                <w:szCs w:val="22"/>
              </w:rPr>
              <w:t xml:space="preserve"> augmentation </w:t>
            </w:r>
            <w:proofErr w:type="spellStart"/>
            <w:r w:rsidRPr="00390EA4">
              <w:rPr>
                <w:sz w:val="22"/>
                <w:szCs w:val="22"/>
              </w:rPr>
              <w:t>importante</w:t>
            </w:r>
            <w:proofErr w:type="spellEnd"/>
            <w:r w:rsidRPr="00390EA4">
              <w:rPr>
                <w:sz w:val="22"/>
                <w:szCs w:val="22"/>
              </w:rPr>
              <w:t xml:space="preserve"> du </w:t>
            </w:r>
            <w:proofErr w:type="spellStart"/>
            <w:r w:rsidRPr="00390EA4">
              <w:rPr>
                <w:sz w:val="22"/>
                <w:szCs w:val="22"/>
              </w:rPr>
              <w:t>nombre</w:t>
            </w:r>
            <w:proofErr w:type="spellEnd"/>
            <w:r w:rsidRPr="00390EA4">
              <w:rPr>
                <w:sz w:val="22"/>
                <w:szCs w:val="22"/>
              </w:rPr>
              <w:t xml:space="preserve"> de perdus de </w:t>
            </w:r>
            <w:proofErr w:type="spellStart"/>
            <w:r w:rsidRPr="00390EA4">
              <w:rPr>
                <w:sz w:val="22"/>
                <w:szCs w:val="22"/>
              </w:rPr>
              <w:t>vue</w:t>
            </w:r>
            <w:proofErr w:type="spellEnd"/>
            <w:r w:rsidRPr="00390EA4">
              <w:rPr>
                <w:sz w:val="22"/>
                <w:szCs w:val="22"/>
              </w:rPr>
              <w:t xml:space="preserve"> qui se </w:t>
            </w:r>
            <w:proofErr w:type="spellStart"/>
            <w:r w:rsidRPr="00390EA4">
              <w:rPr>
                <w:sz w:val="22"/>
                <w:szCs w:val="22"/>
              </w:rPr>
              <w:t>retrouvent</w:t>
            </w:r>
            <w:proofErr w:type="spellEnd"/>
            <w:r w:rsidRPr="00390EA4">
              <w:rPr>
                <w:sz w:val="22"/>
                <w:szCs w:val="22"/>
              </w:rPr>
              <w:t xml:space="preserve"> </w:t>
            </w:r>
            <w:proofErr w:type="spellStart"/>
            <w:r w:rsidRPr="00390EA4">
              <w:rPr>
                <w:sz w:val="22"/>
                <w:szCs w:val="22"/>
              </w:rPr>
              <w:t>essentiellement</w:t>
            </w:r>
            <w:proofErr w:type="spellEnd"/>
            <w:r w:rsidRPr="00390EA4">
              <w:rPr>
                <w:sz w:val="22"/>
                <w:szCs w:val="22"/>
              </w:rPr>
              <w:t xml:space="preserve"> dans les camps de </w:t>
            </w:r>
            <w:proofErr w:type="spellStart"/>
            <w:r w:rsidRPr="00390EA4">
              <w:rPr>
                <w:sz w:val="22"/>
                <w:szCs w:val="22"/>
              </w:rPr>
              <w:t>prière</w:t>
            </w:r>
            <w:proofErr w:type="spellEnd"/>
            <w:r w:rsidRPr="00390EA4">
              <w:rPr>
                <w:sz w:val="22"/>
                <w:szCs w:val="22"/>
              </w:rPr>
              <w:t xml:space="preserve"> et chez les </w:t>
            </w:r>
            <w:proofErr w:type="spellStart"/>
            <w:r w:rsidRPr="00390EA4">
              <w:rPr>
                <w:sz w:val="22"/>
                <w:szCs w:val="22"/>
              </w:rPr>
              <w:t>praticiens</w:t>
            </w:r>
            <w:proofErr w:type="spellEnd"/>
            <w:r w:rsidRPr="00390EA4">
              <w:rPr>
                <w:sz w:val="22"/>
                <w:szCs w:val="22"/>
              </w:rPr>
              <w:t xml:space="preserve"> de la </w:t>
            </w:r>
            <w:proofErr w:type="spellStart"/>
            <w:r w:rsidRPr="00390EA4">
              <w:rPr>
                <w:sz w:val="22"/>
                <w:szCs w:val="22"/>
              </w:rPr>
              <w:t>médecine</w:t>
            </w:r>
            <w:proofErr w:type="spellEnd"/>
            <w:r w:rsidRPr="00390EA4">
              <w:rPr>
                <w:sz w:val="22"/>
                <w:szCs w:val="22"/>
              </w:rPr>
              <w:t xml:space="preserve"> </w:t>
            </w:r>
            <w:proofErr w:type="spellStart"/>
            <w:r w:rsidRPr="00390EA4">
              <w:rPr>
                <w:sz w:val="22"/>
                <w:szCs w:val="22"/>
              </w:rPr>
              <w:t>traditionnelle</w:t>
            </w:r>
            <w:proofErr w:type="spellEnd"/>
            <w:r w:rsidRPr="00390EA4">
              <w:rPr>
                <w:sz w:val="22"/>
                <w:szCs w:val="22"/>
              </w:rPr>
              <w:t xml:space="preserve">. </w:t>
            </w:r>
          </w:p>
          <w:p w14:paraId="1B7B0AE2" w14:textId="77777777" w:rsidR="009B027D" w:rsidRPr="00390EA4" w:rsidRDefault="009B027D" w:rsidP="009B027D">
            <w:pPr>
              <w:contextualSpacing/>
              <w:jc w:val="both"/>
              <w:rPr>
                <w:b/>
                <w:bCs/>
                <w:sz w:val="22"/>
                <w:szCs w:val="22"/>
              </w:rPr>
            </w:pPr>
            <w:r w:rsidRPr="00390EA4">
              <w:rPr>
                <w:sz w:val="22"/>
                <w:szCs w:val="22"/>
              </w:rPr>
              <w:t xml:space="preserve">On constate </w:t>
            </w:r>
            <w:proofErr w:type="spellStart"/>
            <w:r w:rsidRPr="00390EA4">
              <w:rPr>
                <w:sz w:val="22"/>
                <w:szCs w:val="22"/>
              </w:rPr>
              <w:t>aussi</w:t>
            </w:r>
            <w:proofErr w:type="spellEnd"/>
            <w:r w:rsidRPr="00390EA4">
              <w:rPr>
                <w:sz w:val="22"/>
                <w:szCs w:val="22"/>
              </w:rPr>
              <w:t xml:space="preserve"> </w:t>
            </w:r>
            <w:proofErr w:type="spellStart"/>
            <w:r w:rsidRPr="00390EA4">
              <w:rPr>
                <w:sz w:val="22"/>
                <w:szCs w:val="22"/>
              </w:rPr>
              <w:t>une</w:t>
            </w:r>
            <w:proofErr w:type="spellEnd"/>
            <w:r w:rsidRPr="00390EA4">
              <w:rPr>
                <w:sz w:val="22"/>
                <w:szCs w:val="22"/>
              </w:rPr>
              <w:t xml:space="preserve"> </w:t>
            </w:r>
            <w:proofErr w:type="spellStart"/>
            <w:r w:rsidRPr="00390EA4">
              <w:rPr>
                <w:sz w:val="22"/>
                <w:szCs w:val="22"/>
              </w:rPr>
              <w:t>vulnérabilté</w:t>
            </w:r>
            <w:proofErr w:type="spellEnd"/>
            <w:r w:rsidRPr="00390EA4">
              <w:rPr>
                <w:sz w:val="22"/>
                <w:szCs w:val="22"/>
              </w:rPr>
              <w:t xml:space="preserve"> </w:t>
            </w:r>
            <w:proofErr w:type="spellStart"/>
            <w:r w:rsidRPr="00390EA4">
              <w:rPr>
                <w:sz w:val="22"/>
                <w:szCs w:val="22"/>
              </w:rPr>
              <w:t>croissante</w:t>
            </w:r>
            <w:proofErr w:type="spellEnd"/>
            <w:r w:rsidRPr="00390EA4">
              <w:rPr>
                <w:sz w:val="22"/>
                <w:szCs w:val="22"/>
              </w:rPr>
              <w:t xml:space="preserve"> des PVVIH/OEV et </w:t>
            </w:r>
            <w:proofErr w:type="spellStart"/>
            <w:r w:rsidRPr="00390EA4">
              <w:rPr>
                <w:sz w:val="22"/>
                <w:szCs w:val="22"/>
              </w:rPr>
              <w:t>famille</w:t>
            </w:r>
            <w:proofErr w:type="spellEnd"/>
            <w:r w:rsidRPr="00390EA4">
              <w:rPr>
                <w:sz w:val="22"/>
                <w:szCs w:val="22"/>
              </w:rPr>
              <w:t xml:space="preserve"> due à </w:t>
            </w:r>
            <w:proofErr w:type="spellStart"/>
            <w:r w:rsidRPr="00390EA4">
              <w:rPr>
                <w:sz w:val="22"/>
                <w:szCs w:val="22"/>
              </w:rPr>
              <w:t>l’insuffisance</w:t>
            </w:r>
            <w:proofErr w:type="spellEnd"/>
            <w:r w:rsidRPr="00390EA4">
              <w:rPr>
                <w:sz w:val="22"/>
                <w:szCs w:val="22"/>
              </w:rPr>
              <w:t xml:space="preserve"> </w:t>
            </w:r>
            <w:proofErr w:type="spellStart"/>
            <w:r w:rsidRPr="00390EA4">
              <w:rPr>
                <w:sz w:val="22"/>
                <w:szCs w:val="22"/>
              </w:rPr>
              <w:t>d’autonomisation</w:t>
            </w:r>
            <w:proofErr w:type="spellEnd"/>
            <w:r w:rsidRPr="00390EA4">
              <w:rPr>
                <w:sz w:val="22"/>
                <w:szCs w:val="22"/>
              </w:rPr>
              <w:t xml:space="preserve"> et </w:t>
            </w:r>
            <w:proofErr w:type="spellStart"/>
            <w:r w:rsidRPr="00390EA4">
              <w:rPr>
                <w:sz w:val="22"/>
                <w:szCs w:val="22"/>
              </w:rPr>
              <w:t>d’insécurité</w:t>
            </w:r>
            <w:proofErr w:type="spellEnd"/>
            <w:r w:rsidRPr="00390EA4">
              <w:rPr>
                <w:sz w:val="22"/>
                <w:szCs w:val="22"/>
              </w:rPr>
              <w:t xml:space="preserve"> </w:t>
            </w:r>
            <w:proofErr w:type="spellStart"/>
            <w:r w:rsidRPr="00390EA4">
              <w:rPr>
                <w:sz w:val="22"/>
                <w:szCs w:val="22"/>
              </w:rPr>
              <w:t>alimentaire</w:t>
            </w:r>
            <w:proofErr w:type="spellEnd"/>
          </w:p>
          <w:p w14:paraId="4667F13A" w14:textId="77777777" w:rsidR="009B027D" w:rsidRPr="00390EA4" w:rsidRDefault="009B027D" w:rsidP="006F6940">
            <w:pPr>
              <w:pStyle w:val="ListParagraph"/>
              <w:numPr>
                <w:ilvl w:val="0"/>
                <w:numId w:val="33"/>
              </w:numPr>
              <w:spacing w:after="0" w:line="240" w:lineRule="auto"/>
              <w:jc w:val="both"/>
              <w:rPr>
                <w:b/>
                <w:bCs/>
                <w:sz w:val="22"/>
                <w:szCs w:val="22"/>
              </w:rPr>
            </w:pPr>
            <w:proofErr w:type="spellStart"/>
            <w:r w:rsidRPr="00390EA4">
              <w:rPr>
                <w:b/>
                <w:bCs/>
                <w:sz w:val="22"/>
                <w:szCs w:val="22"/>
              </w:rPr>
              <w:t>En</w:t>
            </w:r>
            <w:proofErr w:type="spellEnd"/>
            <w:r w:rsidRPr="00390EA4">
              <w:rPr>
                <w:b/>
                <w:bCs/>
                <w:sz w:val="22"/>
                <w:szCs w:val="22"/>
              </w:rPr>
              <w:t xml:space="preserve"> lien avec le </w:t>
            </w:r>
            <w:proofErr w:type="spellStart"/>
            <w:r w:rsidRPr="00390EA4">
              <w:rPr>
                <w:b/>
                <w:bCs/>
                <w:sz w:val="22"/>
                <w:szCs w:val="22"/>
              </w:rPr>
              <w:t>suivi</w:t>
            </w:r>
            <w:proofErr w:type="spellEnd"/>
            <w:r w:rsidRPr="00390EA4">
              <w:rPr>
                <w:b/>
                <w:bCs/>
                <w:sz w:val="22"/>
                <w:szCs w:val="22"/>
              </w:rPr>
              <w:t xml:space="preserve"> </w:t>
            </w:r>
            <w:proofErr w:type="spellStart"/>
            <w:r w:rsidRPr="00390EA4">
              <w:rPr>
                <w:b/>
                <w:bCs/>
                <w:sz w:val="22"/>
                <w:szCs w:val="22"/>
              </w:rPr>
              <w:t>évaluation</w:t>
            </w:r>
            <w:proofErr w:type="spellEnd"/>
            <w:r w:rsidRPr="00390EA4">
              <w:rPr>
                <w:b/>
                <w:bCs/>
                <w:sz w:val="22"/>
                <w:szCs w:val="22"/>
              </w:rPr>
              <w:t xml:space="preserve"> des interventions de </w:t>
            </w:r>
            <w:proofErr w:type="spellStart"/>
            <w:r w:rsidRPr="00390EA4">
              <w:rPr>
                <w:b/>
                <w:bCs/>
                <w:sz w:val="22"/>
                <w:szCs w:val="22"/>
              </w:rPr>
              <w:t>soins</w:t>
            </w:r>
            <w:proofErr w:type="spellEnd"/>
            <w:r w:rsidRPr="00390EA4">
              <w:rPr>
                <w:b/>
                <w:bCs/>
                <w:sz w:val="22"/>
                <w:szCs w:val="22"/>
              </w:rPr>
              <w:t xml:space="preserve"> et </w:t>
            </w:r>
            <w:proofErr w:type="spellStart"/>
            <w:r w:rsidRPr="00390EA4">
              <w:rPr>
                <w:b/>
                <w:bCs/>
                <w:sz w:val="22"/>
                <w:szCs w:val="22"/>
              </w:rPr>
              <w:t>soutien</w:t>
            </w:r>
            <w:proofErr w:type="spellEnd"/>
          </w:p>
          <w:p w14:paraId="1C9E2626" w14:textId="77777777" w:rsidR="009B027D" w:rsidRPr="00390EA4" w:rsidRDefault="009B027D" w:rsidP="009B027D">
            <w:pPr>
              <w:jc w:val="both"/>
              <w:rPr>
                <w:sz w:val="22"/>
                <w:szCs w:val="22"/>
              </w:rPr>
            </w:pPr>
            <w:r w:rsidRPr="00390EA4">
              <w:rPr>
                <w:sz w:val="22"/>
                <w:szCs w:val="22"/>
              </w:rPr>
              <w:t xml:space="preserve">On note </w:t>
            </w:r>
            <w:proofErr w:type="spellStart"/>
            <w:r w:rsidRPr="00390EA4">
              <w:rPr>
                <w:sz w:val="22"/>
                <w:szCs w:val="22"/>
              </w:rPr>
              <w:t>une</w:t>
            </w:r>
            <w:proofErr w:type="spellEnd"/>
            <w:r w:rsidRPr="00390EA4">
              <w:rPr>
                <w:sz w:val="22"/>
                <w:szCs w:val="22"/>
              </w:rPr>
              <w:t xml:space="preserve"> sous notification des </w:t>
            </w:r>
            <w:proofErr w:type="spellStart"/>
            <w:r w:rsidRPr="00390EA4">
              <w:rPr>
                <w:sz w:val="22"/>
                <w:szCs w:val="22"/>
              </w:rPr>
              <w:t>données</w:t>
            </w:r>
            <w:proofErr w:type="spellEnd"/>
            <w:r w:rsidRPr="00390EA4">
              <w:rPr>
                <w:sz w:val="22"/>
                <w:szCs w:val="22"/>
              </w:rPr>
              <w:t xml:space="preserve"> de </w:t>
            </w:r>
            <w:proofErr w:type="spellStart"/>
            <w:r w:rsidRPr="00390EA4">
              <w:rPr>
                <w:sz w:val="22"/>
                <w:szCs w:val="22"/>
              </w:rPr>
              <w:t>soins</w:t>
            </w:r>
            <w:proofErr w:type="spellEnd"/>
            <w:r w:rsidRPr="00390EA4">
              <w:rPr>
                <w:sz w:val="22"/>
                <w:szCs w:val="22"/>
              </w:rPr>
              <w:t xml:space="preserve"> et </w:t>
            </w:r>
            <w:proofErr w:type="spellStart"/>
            <w:r w:rsidRPr="00390EA4">
              <w:rPr>
                <w:sz w:val="22"/>
                <w:szCs w:val="22"/>
              </w:rPr>
              <w:t>soutien</w:t>
            </w:r>
            <w:proofErr w:type="spellEnd"/>
            <w:r w:rsidRPr="00390EA4">
              <w:rPr>
                <w:sz w:val="22"/>
                <w:szCs w:val="22"/>
              </w:rPr>
              <w:t xml:space="preserve"> qui </w:t>
            </w:r>
            <w:proofErr w:type="spellStart"/>
            <w:r w:rsidRPr="00390EA4">
              <w:rPr>
                <w:sz w:val="22"/>
                <w:szCs w:val="22"/>
              </w:rPr>
              <w:t>va</w:t>
            </w:r>
            <w:proofErr w:type="spellEnd"/>
            <w:r w:rsidRPr="00390EA4">
              <w:rPr>
                <w:sz w:val="22"/>
                <w:szCs w:val="22"/>
              </w:rPr>
              <w:t xml:space="preserve"> se </w:t>
            </w:r>
            <w:proofErr w:type="spellStart"/>
            <w:r w:rsidRPr="00390EA4">
              <w:rPr>
                <w:sz w:val="22"/>
                <w:szCs w:val="22"/>
              </w:rPr>
              <w:t>traduire</w:t>
            </w:r>
            <w:proofErr w:type="spellEnd"/>
            <w:r w:rsidRPr="00390EA4">
              <w:rPr>
                <w:sz w:val="22"/>
                <w:szCs w:val="22"/>
              </w:rPr>
              <w:t xml:space="preserve"> par </w:t>
            </w:r>
            <w:proofErr w:type="spellStart"/>
            <w:r w:rsidRPr="00390EA4">
              <w:rPr>
                <w:sz w:val="22"/>
                <w:szCs w:val="22"/>
              </w:rPr>
              <w:t>l’insuffisance</w:t>
            </w:r>
            <w:proofErr w:type="spellEnd"/>
            <w:r w:rsidRPr="00390EA4">
              <w:rPr>
                <w:sz w:val="22"/>
                <w:szCs w:val="22"/>
              </w:rPr>
              <w:t xml:space="preserve"> de </w:t>
            </w:r>
            <w:proofErr w:type="spellStart"/>
            <w:r w:rsidRPr="00390EA4">
              <w:rPr>
                <w:sz w:val="22"/>
                <w:szCs w:val="22"/>
              </w:rPr>
              <w:t>l’amélioration</w:t>
            </w:r>
            <w:proofErr w:type="spellEnd"/>
            <w:r w:rsidRPr="00390EA4">
              <w:rPr>
                <w:sz w:val="22"/>
                <w:szCs w:val="22"/>
              </w:rPr>
              <w:t xml:space="preserve"> de la </w:t>
            </w:r>
            <w:proofErr w:type="spellStart"/>
            <w:r w:rsidRPr="00390EA4">
              <w:rPr>
                <w:sz w:val="22"/>
                <w:szCs w:val="22"/>
              </w:rPr>
              <w:t>qualité</w:t>
            </w:r>
            <w:proofErr w:type="spellEnd"/>
            <w:r w:rsidRPr="00390EA4">
              <w:rPr>
                <w:sz w:val="22"/>
                <w:szCs w:val="22"/>
              </w:rPr>
              <w:t xml:space="preserve"> des services </w:t>
            </w:r>
            <w:proofErr w:type="spellStart"/>
            <w:r w:rsidRPr="00390EA4">
              <w:rPr>
                <w:sz w:val="22"/>
                <w:szCs w:val="22"/>
              </w:rPr>
              <w:t>offerts</w:t>
            </w:r>
            <w:proofErr w:type="spellEnd"/>
            <w:r w:rsidRPr="00390EA4">
              <w:rPr>
                <w:sz w:val="22"/>
                <w:szCs w:val="22"/>
              </w:rPr>
              <w:t xml:space="preserve"> et la </w:t>
            </w:r>
            <w:proofErr w:type="spellStart"/>
            <w:r w:rsidRPr="00390EA4">
              <w:rPr>
                <w:sz w:val="22"/>
                <w:szCs w:val="22"/>
              </w:rPr>
              <w:t>mesure</w:t>
            </w:r>
            <w:proofErr w:type="spellEnd"/>
            <w:r w:rsidRPr="00390EA4">
              <w:rPr>
                <w:sz w:val="22"/>
                <w:szCs w:val="22"/>
              </w:rPr>
              <w:t xml:space="preserve"> de </w:t>
            </w:r>
            <w:proofErr w:type="spellStart"/>
            <w:r w:rsidRPr="00390EA4">
              <w:rPr>
                <w:sz w:val="22"/>
                <w:szCs w:val="22"/>
              </w:rPr>
              <w:t>l’impact</w:t>
            </w:r>
            <w:proofErr w:type="spellEnd"/>
            <w:r w:rsidRPr="00390EA4">
              <w:rPr>
                <w:sz w:val="22"/>
                <w:szCs w:val="22"/>
              </w:rPr>
              <w:t>.</w:t>
            </w:r>
          </w:p>
          <w:p w14:paraId="41B5EF0B" w14:textId="77777777" w:rsidR="009B027D" w:rsidRPr="00390EA4" w:rsidRDefault="009B027D" w:rsidP="009B027D">
            <w:pPr>
              <w:pStyle w:val="Texteformulaire"/>
              <w:rPr>
                <w:b/>
                <w:bCs/>
                <w:lang w:val="fr-CI"/>
              </w:rPr>
            </w:pPr>
            <w:r w:rsidRPr="00390EA4">
              <w:rPr>
                <w:b/>
                <w:bCs/>
                <w:lang w:val="fr-CI"/>
              </w:rPr>
              <w:t>Mesures envisagées par le PNLS pour éliminer ou atténuer ces obstacles</w:t>
            </w:r>
          </w:p>
          <w:p w14:paraId="7BA041C0" w14:textId="77777777" w:rsidR="009B027D" w:rsidRPr="00390EA4" w:rsidRDefault="009B027D" w:rsidP="00557984">
            <w:pPr>
              <w:pStyle w:val="liste1"/>
            </w:pPr>
            <w:proofErr w:type="spellStart"/>
            <w:r w:rsidRPr="00390EA4">
              <w:t>Entreprendre</w:t>
            </w:r>
            <w:proofErr w:type="spellEnd"/>
            <w:r w:rsidRPr="00390EA4">
              <w:t xml:space="preserve"> des actions </w:t>
            </w:r>
            <w:proofErr w:type="spellStart"/>
            <w:r w:rsidRPr="00390EA4">
              <w:t>ciblées</w:t>
            </w:r>
            <w:proofErr w:type="spellEnd"/>
            <w:r w:rsidRPr="00390EA4">
              <w:t xml:space="preserve"> à </w:t>
            </w:r>
            <w:proofErr w:type="spellStart"/>
            <w:r w:rsidRPr="00390EA4">
              <w:t>l’endroit</w:t>
            </w:r>
            <w:proofErr w:type="spellEnd"/>
            <w:r w:rsidRPr="00390EA4">
              <w:t xml:space="preserve"> des </w:t>
            </w:r>
            <w:proofErr w:type="spellStart"/>
            <w:r w:rsidRPr="00390EA4">
              <w:t>prestatires</w:t>
            </w:r>
            <w:proofErr w:type="spellEnd"/>
            <w:r w:rsidRPr="00390EA4">
              <w:t xml:space="preserve"> de santé pour </w:t>
            </w:r>
            <w:proofErr w:type="spellStart"/>
            <w:r w:rsidRPr="00390EA4">
              <w:t>réduire</w:t>
            </w:r>
            <w:proofErr w:type="spellEnd"/>
            <w:r w:rsidRPr="00390EA4">
              <w:t xml:space="preserve">   la </w:t>
            </w:r>
            <w:proofErr w:type="spellStart"/>
            <w:r w:rsidRPr="00390EA4">
              <w:t>stigmatisation</w:t>
            </w:r>
            <w:proofErr w:type="spellEnd"/>
            <w:r w:rsidRPr="00390EA4">
              <w:t xml:space="preserve"> à </w:t>
            </w:r>
            <w:proofErr w:type="spellStart"/>
            <w:r w:rsidRPr="00390EA4">
              <w:t>l’encontre</w:t>
            </w:r>
            <w:proofErr w:type="spellEnd"/>
            <w:r w:rsidRPr="00390EA4">
              <w:t xml:space="preserve"> des populations </w:t>
            </w:r>
            <w:proofErr w:type="spellStart"/>
            <w:r w:rsidRPr="00390EA4">
              <w:t>clés</w:t>
            </w:r>
            <w:proofErr w:type="spellEnd"/>
          </w:p>
          <w:p w14:paraId="4E074AE6" w14:textId="77777777" w:rsidR="009B027D" w:rsidRPr="00390EA4" w:rsidRDefault="009B027D" w:rsidP="00557984">
            <w:pPr>
              <w:pStyle w:val="liste1"/>
            </w:pPr>
            <w:r w:rsidRPr="00390EA4">
              <w:t xml:space="preserve">Adaptation des </w:t>
            </w:r>
            <w:proofErr w:type="spellStart"/>
            <w:r w:rsidRPr="00390EA4">
              <w:t>servcies</w:t>
            </w:r>
            <w:proofErr w:type="spellEnd"/>
            <w:r w:rsidRPr="00390EA4">
              <w:t xml:space="preserve"> aux </w:t>
            </w:r>
            <w:proofErr w:type="spellStart"/>
            <w:r w:rsidRPr="00390EA4">
              <w:t>besoins</w:t>
            </w:r>
            <w:proofErr w:type="spellEnd"/>
            <w:r w:rsidRPr="00390EA4">
              <w:t xml:space="preserve"> </w:t>
            </w:r>
            <w:proofErr w:type="spellStart"/>
            <w:r w:rsidRPr="00390EA4">
              <w:t>spécifiques</w:t>
            </w:r>
            <w:proofErr w:type="spellEnd"/>
            <w:r w:rsidRPr="00390EA4">
              <w:t xml:space="preserve"> des enfants et adolescents </w:t>
            </w:r>
            <w:proofErr w:type="spellStart"/>
            <w:r w:rsidRPr="00390EA4">
              <w:t>en</w:t>
            </w:r>
            <w:proofErr w:type="spellEnd"/>
            <w:r w:rsidRPr="00390EA4">
              <w:t xml:space="preserve"> </w:t>
            </w:r>
            <w:proofErr w:type="spellStart"/>
            <w:r w:rsidRPr="00390EA4">
              <w:t>renforcant</w:t>
            </w:r>
            <w:proofErr w:type="spellEnd"/>
            <w:r w:rsidRPr="00390EA4">
              <w:t xml:space="preserve"> </w:t>
            </w:r>
            <w:proofErr w:type="spellStart"/>
            <w:r w:rsidRPr="00390EA4">
              <w:t>l’intégration</w:t>
            </w:r>
            <w:proofErr w:type="spellEnd"/>
            <w:r w:rsidRPr="00390EA4">
              <w:t xml:space="preserve"> des services dans le </w:t>
            </w:r>
            <w:proofErr w:type="spellStart"/>
            <w:r w:rsidRPr="00390EA4">
              <w:t>sens</w:t>
            </w:r>
            <w:proofErr w:type="spellEnd"/>
            <w:r w:rsidRPr="00390EA4">
              <w:t xml:space="preserve"> </w:t>
            </w:r>
            <w:proofErr w:type="spellStart"/>
            <w:r w:rsidRPr="00390EA4">
              <w:t>d’une</w:t>
            </w:r>
            <w:proofErr w:type="spellEnd"/>
            <w:r w:rsidRPr="00390EA4">
              <w:t xml:space="preserve"> PEC </w:t>
            </w:r>
            <w:proofErr w:type="spellStart"/>
            <w:r w:rsidRPr="00390EA4">
              <w:t>conjointe</w:t>
            </w:r>
            <w:proofErr w:type="spellEnd"/>
            <w:r w:rsidRPr="00390EA4">
              <w:t xml:space="preserve"> de </w:t>
            </w:r>
            <w:proofErr w:type="spellStart"/>
            <w:r w:rsidRPr="00390EA4">
              <w:t>l’adulte</w:t>
            </w:r>
            <w:proofErr w:type="spellEnd"/>
            <w:r w:rsidRPr="00390EA4">
              <w:t xml:space="preserve"> et de </w:t>
            </w:r>
            <w:proofErr w:type="spellStart"/>
            <w:r w:rsidRPr="00390EA4">
              <w:t>l’enfant</w:t>
            </w:r>
            <w:proofErr w:type="spellEnd"/>
            <w:r w:rsidRPr="00390EA4">
              <w:t xml:space="preserve"> aux </w:t>
            </w:r>
            <w:proofErr w:type="spellStart"/>
            <w:r w:rsidRPr="00390EA4">
              <w:t>mêmes</w:t>
            </w:r>
            <w:proofErr w:type="spellEnd"/>
            <w:r w:rsidRPr="00390EA4">
              <w:t xml:space="preserve"> points </w:t>
            </w:r>
            <w:proofErr w:type="spellStart"/>
            <w:r w:rsidRPr="00390EA4">
              <w:t>d’offre</w:t>
            </w:r>
            <w:proofErr w:type="spellEnd"/>
            <w:r w:rsidRPr="00390EA4">
              <w:t xml:space="preserve"> de service (</w:t>
            </w:r>
            <w:proofErr w:type="spellStart"/>
            <w:r w:rsidRPr="00390EA4">
              <w:t>accompagnement</w:t>
            </w:r>
            <w:proofErr w:type="spellEnd"/>
            <w:r w:rsidRPr="00390EA4">
              <w:t xml:space="preserve"> des </w:t>
            </w:r>
            <w:proofErr w:type="spellStart"/>
            <w:r w:rsidRPr="00390EA4">
              <w:t>prescripteurs</w:t>
            </w:r>
            <w:proofErr w:type="spellEnd"/>
            <w:r w:rsidRPr="00390EA4">
              <w:t xml:space="preserve"> non </w:t>
            </w:r>
            <w:proofErr w:type="spellStart"/>
            <w:r w:rsidRPr="00390EA4">
              <w:t>médecins</w:t>
            </w:r>
            <w:proofErr w:type="spellEnd"/>
            <w:r w:rsidRPr="00390EA4">
              <w:t xml:space="preserve"> pour </w:t>
            </w:r>
            <w:proofErr w:type="spellStart"/>
            <w:r w:rsidRPr="00390EA4">
              <w:t>offrir</w:t>
            </w:r>
            <w:proofErr w:type="spellEnd"/>
            <w:r w:rsidRPr="00390EA4">
              <w:t xml:space="preserve"> le service aux enfants)</w:t>
            </w:r>
          </w:p>
          <w:p w14:paraId="08D145FB" w14:textId="77777777" w:rsidR="009B027D" w:rsidRPr="00390EA4" w:rsidRDefault="009B027D" w:rsidP="00557984">
            <w:pPr>
              <w:pStyle w:val="liste1"/>
            </w:pPr>
            <w:proofErr w:type="spellStart"/>
            <w:r w:rsidRPr="00390EA4">
              <w:t>Renforcer</w:t>
            </w:r>
            <w:proofErr w:type="spellEnd"/>
            <w:r w:rsidRPr="00390EA4">
              <w:t xml:space="preserve"> le </w:t>
            </w:r>
            <w:proofErr w:type="spellStart"/>
            <w:r w:rsidRPr="00390EA4">
              <w:t>paquet</w:t>
            </w:r>
            <w:proofErr w:type="spellEnd"/>
            <w:r w:rsidRPr="00390EA4">
              <w:t xml:space="preserve"> de </w:t>
            </w:r>
            <w:proofErr w:type="spellStart"/>
            <w:r w:rsidRPr="00390EA4">
              <w:t>rétention</w:t>
            </w:r>
            <w:proofErr w:type="spellEnd"/>
            <w:r w:rsidRPr="00390EA4">
              <w:t xml:space="preserve"> et de </w:t>
            </w:r>
            <w:proofErr w:type="spellStart"/>
            <w:r w:rsidRPr="00390EA4">
              <w:t>soins</w:t>
            </w:r>
            <w:proofErr w:type="spellEnd"/>
            <w:r w:rsidRPr="00390EA4">
              <w:t xml:space="preserve"> et </w:t>
            </w:r>
            <w:proofErr w:type="spellStart"/>
            <w:r w:rsidRPr="00390EA4">
              <w:t>soutien</w:t>
            </w:r>
            <w:proofErr w:type="spellEnd"/>
          </w:p>
          <w:p w14:paraId="5F765B4A" w14:textId="77777777" w:rsidR="009B027D" w:rsidRPr="00390EA4" w:rsidRDefault="009B027D" w:rsidP="00557984">
            <w:pPr>
              <w:pStyle w:val="liste1"/>
            </w:pPr>
            <w:proofErr w:type="spellStart"/>
            <w:r w:rsidRPr="00390EA4">
              <w:t>Réaliser</w:t>
            </w:r>
            <w:proofErr w:type="spellEnd"/>
            <w:r w:rsidRPr="00390EA4">
              <w:t xml:space="preserve"> la </w:t>
            </w:r>
            <w:proofErr w:type="spellStart"/>
            <w:r w:rsidRPr="00390EA4">
              <w:t>cartographie</w:t>
            </w:r>
            <w:proofErr w:type="spellEnd"/>
            <w:r w:rsidRPr="00390EA4">
              <w:t xml:space="preserve"> des </w:t>
            </w:r>
            <w:proofErr w:type="spellStart"/>
            <w:r w:rsidRPr="00390EA4">
              <w:t>camps</w:t>
            </w:r>
            <w:proofErr w:type="spellEnd"/>
            <w:r w:rsidRPr="00390EA4">
              <w:t xml:space="preserve"> de </w:t>
            </w:r>
            <w:proofErr w:type="spellStart"/>
            <w:r w:rsidRPr="00390EA4">
              <w:t>prière</w:t>
            </w:r>
            <w:proofErr w:type="spellEnd"/>
            <w:r w:rsidRPr="00390EA4">
              <w:t>.</w:t>
            </w:r>
          </w:p>
          <w:p w14:paraId="5A990D0F" w14:textId="77777777" w:rsidR="009B027D" w:rsidRPr="00390EA4" w:rsidRDefault="009B027D" w:rsidP="00557984">
            <w:pPr>
              <w:pStyle w:val="liste1"/>
            </w:pPr>
            <w:r w:rsidRPr="00390EA4">
              <w:t xml:space="preserve">Implication des </w:t>
            </w:r>
            <w:proofErr w:type="gramStart"/>
            <w:r w:rsidRPr="00390EA4">
              <w:t>leaders</w:t>
            </w:r>
            <w:proofErr w:type="gramEnd"/>
            <w:r w:rsidRPr="00390EA4">
              <w:t xml:space="preserve"> religieux, les </w:t>
            </w:r>
            <w:proofErr w:type="spellStart"/>
            <w:r w:rsidRPr="00390EA4">
              <w:t>responsables</w:t>
            </w:r>
            <w:proofErr w:type="spellEnd"/>
            <w:r w:rsidRPr="00390EA4">
              <w:t xml:space="preserve"> de camps de </w:t>
            </w:r>
            <w:proofErr w:type="spellStart"/>
            <w:r w:rsidRPr="00390EA4">
              <w:t>prière</w:t>
            </w:r>
            <w:proofErr w:type="spellEnd"/>
            <w:r w:rsidRPr="00390EA4">
              <w:t xml:space="preserve"> et les </w:t>
            </w:r>
            <w:proofErr w:type="spellStart"/>
            <w:r w:rsidRPr="00390EA4">
              <w:t>praticiens</w:t>
            </w:r>
            <w:proofErr w:type="spellEnd"/>
            <w:r w:rsidRPr="00390EA4">
              <w:t xml:space="preserve"> de la </w:t>
            </w:r>
            <w:proofErr w:type="spellStart"/>
            <w:r w:rsidRPr="00390EA4">
              <w:t>médecine</w:t>
            </w:r>
            <w:proofErr w:type="spellEnd"/>
            <w:r w:rsidRPr="00390EA4">
              <w:t xml:space="preserve"> </w:t>
            </w:r>
            <w:proofErr w:type="spellStart"/>
            <w:r w:rsidRPr="00390EA4">
              <w:t>traditionnelle</w:t>
            </w:r>
            <w:proofErr w:type="spellEnd"/>
            <w:r w:rsidRPr="00390EA4">
              <w:t xml:space="preserve"> dans </w:t>
            </w:r>
            <w:proofErr w:type="spellStart"/>
            <w:r w:rsidRPr="00390EA4">
              <w:t>l'offre</w:t>
            </w:r>
            <w:proofErr w:type="spellEnd"/>
            <w:r w:rsidRPr="00390EA4">
              <w:t xml:space="preserve"> des services de </w:t>
            </w:r>
            <w:proofErr w:type="spellStart"/>
            <w:r w:rsidRPr="00390EA4">
              <w:t>soins</w:t>
            </w:r>
            <w:proofErr w:type="spellEnd"/>
            <w:r w:rsidRPr="00390EA4">
              <w:t xml:space="preserve"> et </w:t>
            </w:r>
            <w:proofErr w:type="spellStart"/>
            <w:r w:rsidRPr="00390EA4">
              <w:t>soutien</w:t>
            </w:r>
            <w:proofErr w:type="spellEnd"/>
            <w:r w:rsidRPr="00390EA4">
              <w:t xml:space="preserve"> aux PVVIH pour la recherche active des perdus de </w:t>
            </w:r>
            <w:proofErr w:type="spellStart"/>
            <w:r w:rsidRPr="00390EA4">
              <w:t>vue</w:t>
            </w:r>
            <w:proofErr w:type="spellEnd"/>
            <w:r w:rsidRPr="00390EA4">
              <w:t xml:space="preserve"> et </w:t>
            </w:r>
            <w:proofErr w:type="spellStart"/>
            <w:r w:rsidRPr="00390EA4">
              <w:t>leur</w:t>
            </w:r>
            <w:proofErr w:type="spellEnd"/>
            <w:r w:rsidRPr="00390EA4">
              <w:t xml:space="preserve"> </w:t>
            </w:r>
            <w:proofErr w:type="spellStart"/>
            <w:r w:rsidRPr="00390EA4">
              <w:t>réintégration</w:t>
            </w:r>
            <w:proofErr w:type="spellEnd"/>
            <w:r w:rsidRPr="00390EA4">
              <w:t xml:space="preserve"> dans les </w:t>
            </w:r>
            <w:proofErr w:type="spellStart"/>
            <w:r w:rsidRPr="00390EA4">
              <w:t>soins</w:t>
            </w:r>
            <w:proofErr w:type="spellEnd"/>
          </w:p>
          <w:p w14:paraId="3C96D6DC" w14:textId="77777777" w:rsidR="009B027D" w:rsidRPr="00390EA4" w:rsidRDefault="009B027D" w:rsidP="00557984">
            <w:pPr>
              <w:pStyle w:val="liste1"/>
            </w:pPr>
            <w:proofErr w:type="spellStart"/>
            <w:r w:rsidRPr="00390EA4">
              <w:t>Activité</w:t>
            </w:r>
            <w:proofErr w:type="spellEnd"/>
            <w:r w:rsidRPr="00390EA4">
              <w:t xml:space="preserve"> de plaidoyer et de </w:t>
            </w:r>
            <w:proofErr w:type="spellStart"/>
            <w:r w:rsidRPr="00390EA4">
              <w:t>mobilisation</w:t>
            </w:r>
            <w:proofErr w:type="spellEnd"/>
            <w:r w:rsidRPr="00390EA4">
              <w:t xml:space="preserve"> des </w:t>
            </w:r>
            <w:proofErr w:type="spellStart"/>
            <w:r w:rsidRPr="00390EA4">
              <w:t>ressources</w:t>
            </w:r>
            <w:proofErr w:type="spellEnd"/>
            <w:r w:rsidRPr="00390EA4">
              <w:t xml:space="preserve"> surtout domestiques pour la mise </w:t>
            </w:r>
            <w:proofErr w:type="spellStart"/>
            <w:r w:rsidRPr="00390EA4">
              <w:t>en</w:t>
            </w:r>
            <w:proofErr w:type="spellEnd"/>
            <w:r w:rsidRPr="00390EA4">
              <w:t xml:space="preserve"> </w:t>
            </w:r>
            <w:proofErr w:type="spellStart"/>
            <w:r w:rsidRPr="00390EA4">
              <w:t>œuvre</w:t>
            </w:r>
            <w:proofErr w:type="spellEnd"/>
            <w:r w:rsidRPr="00390EA4">
              <w:t xml:space="preserve"> des </w:t>
            </w:r>
            <w:proofErr w:type="spellStart"/>
            <w:r w:rsidRPr="00390EA4">
              <w:t>activités</w:t>
            </w:r>
            <w:proofErr w:type="spellEnd"/>
            <w:r w:rsidRPr="00390EA4">
              <w:t xml:space="preserve"> de </w:t>
            </w:r>
            <w:proofErr w:type="spellStart"/>
            <w:r w:rsidRPr="00390EA4">
              <w:t>renforcement</w:t>
            </w:r>
            <w:proofErr w:type="spellEnd"/>
            <w:r w:rsidRPr="00390EA4">
              <w:t xml:space="preserve"> </w:t>
            </w:r>
            <w:proofErr w:type="spellStart"/>
            <w:r w:rsidRPr="00390EA4">
              <w:t>économique</w:t>
            </w:r>
            <w:proofErr w:type="spellEnd"/>
            <w:r w:rsidRPr="00390EA4">
              <w:t>.</w:t>
            </w:r>
          </w:p>
          <w:p w14:paraId="39AE52AF" w14:textId="61339C87" w:rsidR="00C01C85" w:rsidRPr="00750CA9" w:rsidRDefault="009B027D" w:rsidP="00557984">
            <w:pPr>
              <w:pStyle w:val="liste1"/>
              <w:rPr>
                <w:lang w:val="fr-FR"/>
              </w:rPr>
            </w:pPr>
            <w:proofErr w:type="spellStart"/>
            <w:r w:rsidRPr="00390EA4">
              <w:t>Réviser</w:t>
            </w:r>
            <w:proofErr w:type="spellEnd"/>
            <w:r w:rsidRPr="00390EA4">
              <w:t xml:space="preserve"> les </w:t>
            </w:r>
            <w:proofErr w:type="spellStart"/>
            <w:r w:rsidRPr="00390EA4">
              <w:t>outils</w:t>
            </w:r>
            <w:proofErr w:type="spellEnd"/>
            <w:r w:rsidRPr="00390EA4">
              <w:t xml:space="preserve"> de </w:t>
            </w:r>
            <w:proofErr w:type="spellStart"/>
            <w:r w:rsidRPr="00390EA4">
              <w:t>collecte</w:t>
            </w:r>
            <w:proofErr w:type="spellEnd"/>
            <w:r w:rsidRPr="00390EA4">
              <w:t xml:space="preserve"> de </w:t>
            </w:r>
            <w:proofErr w:type="spellStart"/>
            <w:r w:rsidRPr="00390EA4">
              <w:t>données</w:t>
            </w:r>
            <w:proofErr w:type="spellEnd"/>
            <w:r w:rsidRPr="00390EA4">
              <w:t xml:space="preserve"> sur les </w:t>
            </w:r>
            <w:proofErr w:type="spellStart"/>
            <w:r w:rsidRPr="00390EA4">
              <w:t>soins</w:t>
            </w:r>
            <w:proofErr w:type="spellEnd"/>
            <w:r w:rsidRPr="00390EA4">
              <w:t xml:space="preserve"> et </w:t>
            </w:r>
            <w:proofErr w:type="spellStart"/>
            <w:r w:rsidRPr="00390EA4">
              <w:t>soutien</w:t>
            </w:r>
            <w:proofErr w:type="spellEnd"/>
            <w:r w:rsidRPr="00390EA4">
              <w:t>.</w:t>
            </w:r>
          </w:p>
        </w:tc>
      </w:tr>
      <w:tr w:rsidR="00E10B83" w:rsidRPr="0037522B" w14:paraId="344C5D16" w14:textId="77777777" w:rsidTr="00390EA4">
        <w:trPr>
          <w:trHeight w:val="288"/>
        </w:trPr>
        <w:tc>
          <w:tcPr>
            <w:tcW w:w="1662" w:type="dxa"/>
            <w:shd w:val="clear" w:color="auto" w:fill="F2F2F2"/>
            <w:vAlign w:val="center"/>
          </w:tcPr>
          <w:p w14:paraId="6DABD2A5" w14:textId="77777777" w:rsidR="00E10B83" w:rsidRPr="007F7A64" w:rsidRDefault="00E10B83" w:rsidP="00E80CEF">
            <w:pPr>
              <w:spacing w:after="0"/>
              <w:rPr>
                <w:b/>
              </w:rPr>
            </w:pPr>
            <w:r>
              <w:rPr>
                <w:b/>
                <w:lang w:bidi="fr-FR"/>
              </w:rPr>
              <w:lastRenderedPageBreak/>
              <w:t>Justification</w:t>
            </w:r>
            <w:r>
              <w:rPr>
                <w:b/>
                <w:lang w:bidi="fr-FR"/>
              </w:rPr>
              <w:tab/>
            </w:r>
          </w:p>
        </w:tc>
        <w:tc>
          <w:tcPr>
            <w:tcW w:w="9138" w:type="dxa"/>
          </w:tcPr>
          <w:p w14:paraId="575AE3C4" w14:textId="4B1084B1" w:rsidR="00E10B83" w:rsidRPr="00750CA9" w:rsidRDefault="00E10B83" w:rsidP="004E1C7A">
            <w:pPr>
              <w:pStyle w:val="liste1"/>
              <w:rPr>
                <w:lang w:val="fr-FR"/>
              </w:rPr>
            </w:pPr>
            <w:r w:rsidRPr="00750CA9">
              <w:rPr>
                <w:lang w:val="fr-FR"/>
              </w:rPr>
              <w:t>Insuffisance de rétention durable des PVVIH adultes, enfants et adolescents</w:t>
            </w:r>
          </w:p>
          <w:p w14:paraId="73BCFD3F" w14:textId="5D612FEC" w:rsidR="00E10B83" w:rsidRPr="00750CA9" w:rsidRDefault="00E10B83" w:rsidP="004E1C7A">
            <w:pPr>
              <w:pStyle w:val="liste1"/>
              <w:rPr>
                <w:lang w:val="fr-FR"/>
              </w:rPr>
            </w:pPr>
            <w:r w:rsidRPr="00750CA9">
              <w:rPr>
                <w:lang w:val="fr-FR"/>
              </w:rPr>
              <w:t xml:space="preserve">Taux élevé de perdus de vue et de </w:t>
            </w:r>
            <w:proofErr w:type="spellStart"/>
            <w:r w:rsidRPr="00750CA9">
              <w:rPr>
                <w:lang w:val="fr-FR"/>
              </w:rPr>
              <w:t>sero</w:t>
            </w:r>
            <w:proofErr w:type="spellEnd"/>
            <w:r w:rsidRPr="00750CA9">
              <w:rPr>
                <w:lang w:val="fr-FR"/>
              </w:rPr>
              <w:t>-ignorants retrouvés essentiellement dans les camps de prière /</w:t>
            </w:r>
            <w:proofErr w:type="spellStart"/>
            <w:r w:rsidRPr="00750CA9">
              <w:rPr>
                <w:lang w:val="fr-FR"/>
              </w:rPr>
              <w:t>Pratciens</w:t>
            </w:r>
            <w:proofErr w:type="spellEnd"/>
            <w:r w:rsidRPr="00750CA9">
              <w:rPr>
                <w:lang w:val="fr-FR"/>
              </w:rPr>
              <w:t xml:space="preserve"> de la médecine traditionnelle</w:t>
            </w:r>
          </w:p>
        </w:tc>
      </w:tr>
      <w:tr w:rsidR="00460366" w:rsidRPr="0037522B" w14:paraId="4934E833" w14:textId="77777777" w:rsidTr="00390EA4">
        <w:trPr>
          <w:trHeight w:val="288"/>
        </w:trPr>
        <w:tc>
          <w:tcPr>
            <w:tcW w:w="1662" w:type="dxa"/>
            <w:shd w:val="clear" w:color="auto" w:fill="F2F2F2"/>
            <w:vAlign w:val="center"/>
          </w:tcPr>
          <w:p w14:paraId="709BF0ED" w14:textId="7105787A" w:rsidR="00460366" w:rsidRPr="007F7A64" w:rsidRDefault="00460366" w:rsidP="00E80CEF">
            <w:pPr>
              <w:spacing w:after="0"/>
              <w:rPr>
                <w:b/>
              </w:rPr>
            </w:pPr>
            <w:proofErr w:type="spellStart"/>
            <w:r w:rsidRPr="007F7A64">
              <w:rPr>
                <w:b/>
                <w:lang w:bidi="fr-FR"/>
              </w:rPr>
              <w:t>Résultats</w:t>
            </w:r>
            <w:proofErr w:type="spellEnd"/>
            <w:r w:rsidRPr="007F7A64">
              <w:rPr>
                <w:b/>
                <w:lang w:bidi="fr-FR"/>
              </w:rPr>
              <w:t xml:space="preserve"> </w:t>
            </w:r>
            <w:proofErr w:type="spellStart"/>
            <w:r w:rsidRPr="007F7A64">
              <w:rPr>
                <w:b/>
                <w:lang w:bidi="fr-FR"/>
              </w:rPr>
              <w:t>attendus</w:t>
            </w:r>
            <w:proofErr w:type="spellEnd"/>
          </w:p>
        </w:tc>
        <w:tc>
          <w:tcPr>
            <w:tcW w:w="9138" w:type="dxa"/>
          </w:tcPr>
          <w:p w14:paraId="18864166" w14:textId="56B39A33" w:rsidR="001B6BDB" w:rsidRDefault="001B6BDB" w:rsidP="00557984">
            <w:pPr>
              <w:pStyle w:val="liste1"/>
            </w:pPr>
            <w:r>
              <w:t xml:space="preserve">Couverture ARV (2023): 81,83% pour les </w:t>
            </w:r>
            <w:proofErr w:type="spellStart"/>
            <w:r>
              <w:t>adultes</w:t>
            </w:r>
            <w:proofErr w:type="spellEnd"/>
            <w:r>
              <w:t xml:space="preserve">, 75,33% pour les </w:t>
            </w:r>
            <w:proofErr w:type="spellStart"/>
            <w:r>
              <w:t>moins</w:t>
            </w:r>
            <w:proofErr w:type="spellEnd"/>
            <w:r>
              <w:t xml:space="preserve"> de 15 </w:t>
            </w:r>
            <w:proofErr w:type="spellStart"/>
            <w:r>
              <w:t>ans</w:t>
            </w:r>
            <w:proofErr w:type="spellEnd"/>
            <w:r>
              <w:t xml:space="preserve"> </w:t>
            </w:r>
          </w:p>
          <w:p w14:paraId="65F1973D" w14:textId="77777777" w:rsidR="001B6BDB" w:rsidRDefault="001B6BDB" w:rsidP="00557984">
            <w:pPr>
              <w:pStyle w:val="liste1"/>
            </w:pPr>
            <w:proofErr w:type="spellStart"/>
            <w:r>
              <w:t>Rétention</w:t>
            </w:r>
            <w:proofErr w:type="spellEnd"/>
            <w:r>
              <w:t xml:space="preserve"> à 12 </w:t>
            </w:r>
            <w:proofErr w:type="spellStart"/>
            <w:r>
              <w:t>mois</w:t>
            </w:r>
            <w:proofErr w:type="spellEnd"/>
            <w:r>
              <w:t xml:space="preserve"> (2023</w:t>
            </w:r>
            <w:proofErr w:type="gramStart"/>
            <w:r>
              <w:t>) :</w:t>
            </w:r>
            <w:proofErr w:type="gramEnd"/>
            <w:r>
              <w:t xml:space="preserve"> 91,33% chez les </w:t>
            </w:r>
            <w:proofErr w:type="spellStart"/>
            <w:r>
              <w:t>adultes</w:t>
            </w:r>
            <w:proofErr w:type="spellEnd"/>
            <w:r>
              <w:t xml:space="preserve"> et 89,67% chez les </w:t>
            </w:r>
            <w:proofErr w:type="spellStart"/>
            <w:r>
              <w:t>les</w:t>
            </w:r>
            <w:proofErr w:type="spellEnd"/>
            <w:r>
              <w:t xml:space="preserve"> </w:t>
            </w:r>
            <w:proofErr w:type="spellStart"/>
            <w:r>
              <w:t>moins</w:t>
            </w:r>
            <w:proofErr w:type="spellEnd"/>
            <w:r>
              <w:t xml:space="preserve"> de 15 </w:t>
            </w:r>
            <w:proofErr w:type="spellStart"/>
            <w:r>
              <w:t>ans</w:t>
            </w:r>
            <w:proofErr w:type="spellEnd"/>
          </w:p>
          <w:p w14:paraId="2976AF6E" w14:textId="4284ABDC" w:rsidR="001B6BDB" w:rsidRPr="00750CA9" w:rsidRDefault="00416B92" w:rsidP="00557984">
            <w:pPr>
              <w:pStyle w:val="liste1"/>
            </w:pPr>
            <w:r>
              <w:t xml:space="preserve">85,7% des PVVIH sous ARV </w:t>
            </w:r>
            <w:proofErr w:type="spellStart"/>
            <w:r>
              <w:t>ont</w:t>
            </w:r>
            <w:proofErr w:type="spellEnd"/>
            <w:r>
              <w:t xml:space="preserve"> </w:t>
            </w:r>
            <w:proofErr w:type="spellStart"/>
            <w:r>
              <w:t>une</w:t>
            </w:r>
            <w:proofErr w:type="spellEnd"/>
            <w:r>
              <w:t xml:space="preserve"> suppression de la charge </w:t>
            </w:r>
            <w:proofErr w:type="spellStart"/>
            <w:r>
              <w:t>virale</w:t>
            </w:r>
            <w:proofErr w:type="spellEnd"/>
          </w:p>
        </w:tc>
      </w:tr>
      <w:tr w:rsidR="002E4FBD" w:rsidRPr="007F7A64" w14:paraId="7CAA6DFB" w14:textId="77777777" w:rsidTr="00390EA4">
        <w:trPr>
          <w:trHeight w:val="288"/>
        </w:trPr>
        <w:tc>
          <w:tcPr>
            <w:tcW w:w="1662" w:type="dxa"/>
            <w:shd w:val="clear" w:color="auto" w:fill="F2F2F2"/>
            <w:vAlign w:val="center"/>
          </w:tcPr>
          <w:p w14:paraId="0DBCD32F" w14:textId="77777777" w:rsidR="002E4FBD" w:rsidRPr="00C44844" w:rsidRDefault="002E4FBD" w:rsidP="00E80CEF">
            <w:pPr>
              <w:spacing w:after="0"/>
              <w:rPr>
                <w:b/>
              </w:rPr>
            </w:pPr>
            <w:proofErr w:type="spellStart"/>
            <w:r w:rsidRPr="007F7A64">
              <w:rPr>
                <w:b/>
                <w:lang w:bidi="fr-FR"/>
              </w:rPr>
              <w:t>Investissement</w:t>
            </w:r>
            <w:proofErr w:type="spellEnd"/>
            <w:r w:rsidRPr="007F7A64">
              <w:rPr>
                <w:b/>
                <w:lang w:bidi="fr-FR"/>
              </w:rPr>
              <w:t xml:space="preserve"> </w:t>
            </w:r>
            <w:proofErr w:type="spellStart"/>
            <w:r w:rsidRPr="007F7A64">
              <w:rPr>
                <w:b/>
                <w:lang w:bidi="fr-FR"/>
              </w:rPr>
              <w:t>attendu</w:t>
            </w:r>
            <w:proofErr w:type="spellEnd"/>
          </w:p>
        </w:tc>
        <w:tc>
          <w:tcPr>
            <w:tcW w:w="9138" w:type="dxa"/>
          </w:tcPr>
          <w:p w14:paraId="1FFE5FB5" w14:textId="54B8D1F6" w:rsidR="002E4FBD" w:rsidRPr="00EF66DC" w:rsidRDefault="00EF66DC" w:rsidP="00EF66DC">
            <w:pPr>
              <w:pStyle w:val="Texteformulaire"/>
              <w:rPr>
                <w:rFonts w:eastAsia="Times New Roman"/>
              </w:rPr>
            </w:pPr>
            <w:r w:rsidRPr="002D0EC2">
              <w:rPr>
                <w:b/>
                <w:bCs/>
                <w:color w:val="FF0000"/>
              </w:rPr>
              <w:t>4</w:t>
            </w:r>
            <w:r w:rsidR="0044115C" w:rsidRPr="002D0EC2">
              <w:rPr>
                <w:b/>
                <w:bCs/>
                <w:color w:val="FF0000"/>
              </w:rPr>
              <w:t>1</w:t>
            </w:r>
            <w:r w:rsidRPr="002D0EC2">
              <w:rPr>
                <w:b/>
                <w:bCs/>
                <w:color w:val="FF0000"/>
              </w:rPr>
              <w:t xml:space="preserve"> </w:t>
            </w:r>
            <w:r w:rsidR="0044115C" w:rsidRPr="002D0EC2">
              <w:rPr>
                <w:b/>
                <w:bCs/>
                <w:color w:val="FF0000"/>
              </w:rPr>
              <w:t>273</w:t>
            </w:r>
            <w:r w:rsidRPr="002D0EC2">
              <w:rPr>
                <w:b/>
                <w:bCs/>
                <w:color w:val="FF0000"/>
              </w:rPr>
              <w:t> 8</w:t>
            </w:r>
            <w:r w:rsidR="0044115C" w:rsidRPr="002D0EC2">
              <w:rPr>
                <w:b/>
                <w:bCs/>
                <w:color w:val="FF0000"/>
              </w:rPr>
              <w:t>98</w:t>
            </w:r>
            <w:r w:rsidRPr="002D0EC2">
              <w:rPr>
                <w:b/>
                <w:bCs/>
                <w:color w:val="FF0000"/>
              </w:rPr>
              <w:t xml:space="preserve"> euros (</w:t>
            </w:r>
            <w:proofErr w:type="spellStart"/>
            <w:r w:rsidRPr="002D0EC2">
              <w:rPr>
                <w:b/>
                <w:bCs/>
                <w:color w:val="FF0000"/>
              </w:rPr>
              <w:t>soit</w:t>
            </w:r>
            <w:proofErr w:type="spellEnd"/>
            <w:r w:rsidRPr="002D0EC2">
              <w:rPr>
                <w:b/>
                <w:bCs/>
                <w:color w:val="FF0000"/>
              </w:rPr>
              <w:t xml:space="preserve"> 5</w:t>
            </w:r>
            <w:r w:rsidR="0044115C" w:rsidRPr="002D0EC2">
              <w:rPr>
                <w:b/>
                <w:bCs/>
                <w:color w:val="FF0000"/>
              </w:rPr>
              <w:t>1</w:t>
            </w:r>
            <w:r w:rsidRPr="002D0EC2">
              <w:rPr>
                <w:b/>
                <w:bCs/>
                <w:color w:val="FF0000"/>
              </w:rPr>
              <w:t>%)</w:t>
            </w:r>
          </w:p>
        </w:tc>
      </w:tr>
    </w:tbl>
    <w:p w14:paraId="450232E6" w14:textId="77777777" w:rsidR="004E4290" w:rsidRDefault="004E4290" w:rsidP="009B6C0D">
      <w:pPr>
        <w:spacing w:after="0"/>
        <w:rPr>
          <w:i/>
          <w:sz w:val="16"/>
        </w:rPr>
      </w:pPr>
      <w:r w:rsidRPr="00E80CEF">
        <w:rPr>
          <w:i/>
          <w:sz w:val="16"/>
        </w:rPr>
        <w:t xml:space="preserve"> </w:t>
      </w:r>
    </w:p>
    <w:tbl>
      <w:tblPr>
        <w:tblStyle w:val="TableGrid30"/>
        <w:tblW w:w="10800" w:type="dxa"/>
        <w:tblInd w:w="-5" w:type="dxa"/>
        <w:tblLook w:val="04A0" w:firstRow="1" w:lastRow="0" w:firstColumn="1" w:lastColumn="0" w:noHBand="0" w:noVBand="1"/>
      </w:tblPr>
      <w:tblGrid>
        <w:gridCol w:w="1662"/>
        <w:gridCol w:w="9138"/>
      </w:tblGrid>
      <w:tr w:rsidR="004E4290" w:rsidRPr="00390EA4" w14:paraId="7E7F2C56" w14:textId="77777777" w:rsidTr="00390EA4">
        <w:trPr>
          <w:trHeight w:val="484"/>
        </w:trPr>
        <w:tc>
          <w:tcPr>
            <w:tcW w:w="1560" w:type="dxa"/>
            <w:shd w:val="clear" w:color="auto" w:fill="F2F2F2"/>
            <w:vAlign w:val="center"/>
          </w:tcPr>
          <w:p w14:paraId="00678BBB" w14:textId="77777777" w:rsidR="004E4290" w:rsidRPr="00390EA4" w:rsidRDefault="004E4290" w:rsidP="00390EA4">
            <w:pPr>
              <w:spacing w:after="0"/>
              <w:rPr>
                <w:b/>
                <w:sz w:val="22"/>
                <w:szCs w:val="22"/>
              </w:rPr>
            </w:pPr>
            <w:proofErr w:type="gramStart"/>
            <w:r w:rsidRPr="00390EA4">
              <w:rPr>
                <w:b/>
                <w:sz w:val="22"/>
                <w:szCs w:val="22"/>
                <w:lang w:bidi="fr-FR"/>
              </w:rPr>
              <w:t>N</w:t>
            </w:r>
            <w:r w:rsidRPr="00390EA4">
              <w:rPr>
                <w:b/>
                <w:sz w:val="22"/>
                <w:szCs w:val="22"/>
                <w:vertAlign w:val="superscript"/>
                <w:lang w:bidi="fr-FR"/>
              </w:rPr>
              <w:t>o</w:t>
            </w:r>
            <w:proofErr w:type="gramEnd"/>
            <w:r w:rsidRPr="00390EA4">
              <w:rPr>
                <w:b/>
                <w:sz w:val="22"/>
                <w:szCs w:val="22"/>
                <w:lang w:bidi="fr-FR"/>
              </w:rPr>
              <w:t xml:space="preserve"> de module</w:t>
            </w:r>
          </w:p>
        </w:tc>
        <w:tc>
          <w:tcPr>
            <w:tcW w:w="9240" w:type="dxa"/>
            <w:vAlign w:val="center"/>
          </w:tcPr>
          <w:p w14:paraId="1F68472C" w14:textId="53105E7F" w:rsidR="004E4290" w:rsidRPr="00390EA4" w:rsidRDefault="00D15EE6" w:rsidP="00390EA4">
            <w:pPr>
              <w:spacing w:after="0"/>
              <w:rPr>
                <w:b/>
                <w:sz w:val="22"/>
                <w:szCs w:val="22"/>
              </w:rPr>
            </w:pPr>
            <w:r w:rsidRPr="00390EA4">
              <w:rPr>
                <w:b/>
                <w:sz w:val="22"/>
                <w:szCs w:val="22"/>
              </w:rPr>
              <w:t xml:space="preserve">Module </w:t>
            </w:r>
            <w:proofErr w:type="gramStart"/>
            <w:r w:rsidRPr="00390EA4">
              <w:rPr>
                <w:b/>
                <w:sz w:val="22"/>
                <w:szCs w:val="22"/>
              </w:rPr>
              <w:t>5</w:t>
            </w:r>
            <w:r w:rsidR="009A4BDD" w:rsidRPr="00390EA4">
              <w:rPr>
                <w:b/>
                <w:sz w:val="22"/>
                <w:szCs w:val="22"/>
              </w:rPr>
              <w:t xml:space="preserve"> </w:t>
            </w:r>
            <w:r w:rsidRPr="00390EA4">
              <w:rPr>
                <w:b/>
                <w:sz w:val="22"/>
                <w:szCs w:val="22"/>
              </w:rPr>
              <w:t>:</w:t>
            </w:r>
            <w:proofErr w:type="gramEnd"/>
            <w:r w:rsidRPr="00390EA4">
              <w:rPr>
                <w:b/>
                <w:sz w:val="22"/>
                <w:szCs w:val="22"/>
              </w:rPr>
              <w:t xml:space="preserve"> </w:t>
            </w:r>
            <w:bookmarkStart w:id="19" w:name="_Hlk40769155"/>
            <w:proofErr w:type="spellStart"/>
            <w:r w:rsidRPr="00390EA4">
              <w:rPr>
                <w:b/>
                <w:sz w:val="22"/>
                <w:szCs w:val="22"/>
              </w:rPr>
              <w:t>Tuberculose</w:t>
            </w:r>
            <w:proofErr w:type="spellEnd"/>
            <w:r w:rsidRPr="00390EA4">
              <w:rPr>
                <w:b/>
                <w:sz w:val="22"/>
                <w:szCs w:val="22"/>
              </w:rPr>
              <w:t>/ VIH</w:t>
            </w:r>
            <w:bookmarkEnd w:id="19"/>
          </w:p>
        </w:tc>
      </w:tr>
      <w:tr w:rsidR="00954887" w:rsidRPr="0037522B" w14:paraId="1B5781F0" w14:textId="77777777" w:rsidTr="007A0F0B">
        <w:trPr>
          <w:trHeight w:val="288"/>
        </w:trPr>
        <w:tc>
          <w:tcPr>
            <w:tcW w:w="1560" w:type="dxa"/>
            <w:shd w:val="clear" w:color="auto" w:fill="F2F2F2"/>
            <w:vAlign w:val="center"/>
          </w:tcPr>
          <w:p w14:paraId="6FD4E729" w14:textId="77777777" w:rsidR="00954887" w:rsidRPr="007F7A64" w:rsidRDefault="00954887" w:rsidP="00E80CEF">
            <w:pPr>
              <w:spacing w:after="0"/>
              <w:rPr>
                <w:b/>
              </w:rPr>
            </w:pPr>
            <w:proofErr w:type="spellStart"/>
            <w:r w:rsidRPr="007F7A64">
              <w:rPr>
                <w:b/>
                <w:lang w:bidi="fr-FR"/>
              </w:rPr>
              <w:t>Principales</w:t>
            </w:r>
            <w:proofErr w:type="spellEnd"/>
            <w:r w:rsidRPr="007F7A64">
              <w:rPr>
                <w:b/>
                <w:lang w:bidi="fr-FR"/>
              </w:rPr>
              <w:t xml:space="preserve"> interventions et </w:t>
            </w:r>
            <w:proofErr w:type="spellStart"/>
            <w:r w:rsidRPr="007F7A64">
              <w:rPr>
                <w:b/>
                <w:lang w:bidi="fr-FR"/>
              </w:rPr>
              <w:t>activités</w:t>
            </w:r>
            <w:proofErr w:type="spellEnd"/>
          </w:p>
        </w:tc>
        <w:tc>
          <w:tcPr>
            <w:tcW w:w="9240" w:type="dxa"/>
          </w:tcPr>
          <w:p w14:paraId="35F324A7" w14:textId="77777777" w:rsidR="00A735CA" w:rsidRPr="00750CA9" w:rsidRDefault="009A4BDD" w:rsidP="00390EA4">
            <w:pPr>
              <w:pStyle w:val="Texteformulaire"/>
              <w:rPr>
                <w:lang w:val="fr-FR"/>
              </w:rPr>
            </w:pPr>
            <w:r w:rsidRPr="00750CA9">
              <w:rPr>
                <w:lang w:val="fr-FR"/>
              </w:rPr>
              <w:t xml:space="preserve">La collaboration entre les programmes TB et VIH a permis d’améliorer certains indicateurs de la lutte conjointe (dépistage du recherche active de la tuberculose chez les PVVIH, contrôle de l’infection tuberculeuse chez les PVVIH). </w:t>
            </w:r>
            <w:r w:rsidR="00A735CA" w:rsidRPr="00750CA9">
              <w:rPr>
                <w:lang w:val="fr-FR"/>
              </w:rPr>
              <w:t>En revanche, la t</w:t>
            </w:r>
            <w:r w:rsidRPr="00750CA9">
              <w:rPr>
                <w:lang w:val="fr-FR"/>
              </w:rPr>
              <w:t xml:space="preserve">hérapie préventive à </w:t>
            </w:r>
            <w:r w:rsidRPr="00750CA9">
              <w:rPr>
                <w:lang w:val="fr-FR"/>
              </w:rPr>
              <w:lastRenderedPageBreak/>
              <w:t>l’isoniazide (TPI)</w:t>
            </w:r>
            <w:r w:rsidR="00A735CA" w:rsidRPr="00750CA9">
              <w:rPr>
                <w:lang w:val="fr-FR"/>
              </w:rPr>
              <w:t xml:space="preserve"> a </w:t>
            </w:r>
            <w:r w:rsidRPr="00750CA9">
              <w:rPr>
                <w:lang w:val="fr-FR"/>
              </w:rPr>
              <w:t>débuté en 2018 par une phase d’initiation dans 6 structures</w:t>
            </w:r>
            <w:r w:rsidR="00A735CA" w:rsidRPr="00750CA9">
              <w:rPr>
                <w:lang w:val="fr-FR"/>
              </w:rPr>
              <w:t xml:space="preserve"> et seulement 374 patients en ont bénéficié en 2019.</w:t>
            </w:r>
          </w:p>
          <w:p w14:paraId="1E32C7FA" w14:textId="793BEFA0" w:rsidR="00A735CA" w:rsidRPr="00750CA9" w:rsidRDefault="00A735CA" w:rsidP="00390EA4">
            <w:pPr>
              <w:pStyle w:val="Texteformulaire"/>
              <w:rPr>
                <w:lang w:val="fr-FR"/>
              </w:rPr>
            </w:pPr>
            <w:r w:rsidRPr="00750CA9">
              <w:rPr>
                <w:lang w:val="fr-FR"/>
              </w:rPr>
              <w:t>L</w:t>
            </w:r>
            <w:r w:rsidR="009A4BDD" w:rsidRPr="00750CA9">
              <w:rPr>
                <w:lang w:val="fr-FR"/>
              </w:rPr>
              <w:t xml:space="preserve">’extension progressive de la TPI </w:t>
            </w:r>
            <w:r w:rsidRPr="00750CA9">
              <w:rPr>
                <w:lang w:val="fr-FR"/>
              </w:rPr>
              <w:t>est prévue, encadrée par u</w:t>
            </w:r>
            <w:r w:rsidR="009A4BDD" w:rsidRPr="00750CA9">
              <w:rPr>
                <w:lang w:val="fr-FR"/>
              </w:rPr>
              <w:t>ne feuille de route élaborée</w:t>
            </w:r>
            <w:r w:rsidRPr="00750CA9">
              <w:rPr>
                <w:lang w:val="fr-FR"/>
              </w:rPr>
              <w:t xml:space="preserve"> en mars 2020 entre PNLT et PNLS</w:t>
            </w:r>
            <w:r w:rsidR="009A4BDD" w:rsidRPr="00750CA9">
              <w:rPr>
                <w:lang w:val="fr-FR"/>
              </w:rPr>
              <w:t xml:space="preserve">. Les modalités de mise en </w:t>
            </w:r>
            <w:proofErr w:type="spellStart"/>
            <w:r w:rsidR="009A4BDD" w:rsidRPr="00750CA9">
              <w:rPr>
                <w:lang w:val="fr-FR"/>
              </w:rPr>
              <w:t>oeuvre</w:t>
            </w:r>
            <w:proofErr w:type="spellEnd"/>
            <w:r w:rsidR="009A4BDD" w:rsidRPr="00750CA9">
              <w:rPr>
                <w:lang w:val="fr-FR"/>
              </w:rPr>
              <w:t xml:space="preserve"> et les coûts sont partagés entre </w:t>
            </w:r>
            <w:r w:rsidRPr="00750CA9">
              <w:rPr>
                <w:lang w:val="fr-FR"/>
              </w:rPr>
              <w:t>les programmes</w:t>
            </w:r>
            <w:r w:rsidR="009A4BDD" w:rsidRPr="00750CA9">
              <w:rPr>
                <w:lang w:val="fr-FR"/>
              </w:rPr>
              <w:t xml:space="preserve">. </w:t>
            </w:r>
          </w:p>
          <w:p w14:paraId="7192CFED" w14:textId="62B29746" w:rsidR="00A735CA" w:rsidRPr="00750CA9" w:rsidRDefault="00A735CA" w:rsidP="00390EA4">
            <w:pPr>
              <w:pStyle w:val="Texteformulaire"/>
              <w:rPr>
                <w:lang w:val="fr-FR"/>
              </w:rPr>
            </w:pPr>
            <w:r w:rsidRPr="00750CA9">
              <w:rPr>
                <w:lang w:val="fr-FR"/>
              </w:rPr>
              <w:t>Les activités prévues dans le cadre des interventions du module sont listées ci-dessous.</w:t>
            </w:r>
          </w:p>
          <w:p w14:paraId="0C9C21AD" w14:textId="14578517" w:rsidR="00954887" w:rsidRPr="00954887" w:rsidRDefault="00954887" w:rsidP="006F6940">
            <w:pPr>
              <w:pStyle w:val="NormalJBGS"/>
              <w:numPr>
                <w:ilvl w:val="0"/>
                <w:numId w:val="40"/>
              </w:numPr>
              <w:jc w:val="both"/>
              <w:rPr>
                <w:rFonts w:asciiTheme="majorHAnsi" w:hAnsiTheme="majorHAnsi" w:cstheme="majorHAnsi"/>
                <w:b/>
                <w:color w:val="auto"/>
                <w:sz w:val="22"/>
                <w:szCs w:val="22"/>
                <w:lang w:val="fr-FR"/>
              </w:rPr>
            </w:pPr>
            <w:r w:rsidRPr="00954887">
              <w:rPr>
                <w:rFonts w:asciiTheme="majorHAnsi" w:hAnsiTheme="majorHAnsi" w:cstheme="majorHAnsi"/>
                <w:b/>
                <w:i w:val="0"/>
                <w:color w:val="auto"/>
                <w:sz w:val="22"/>
                <w:szCs w:val="22"/>
                <w:lang w:val="fr-FR"/>
              </w:rPr>
              <w:t>Activités conjointes de lutte contre la tuberculose et le VIH :</w:t>
            </w:r>
          </w:p>
          <w:p w14:paraId="5CC49A7A" w14:textId="436550AC" w:rsidR="00954887" w:rsidRPr="00954887" w:rsidRDefault="00954887" w:rsidP="00390EA4">
            <w:pPr>
              <w:pStyle w:val="liste1"/>
            </w:pPr>
            <w:r w:rsidRPr="00954887">
              <w:t>Former/</w:t>
            </w:r>
            <w:proofErr w:type="spellStart"/>
            <w:r w:rsidRPr="00954887">
              <w:t>orienter</w:t>
            </w:r>
            <w:proofErr w:type="spellEnd"/>
            <w:r w:rsidRPr="00954887">
              <w:t xml:space="preserve"> les </w:t>
            </w:r>
            <w:proofErr w:type="spellStart"/>
            <w:r w:rsidRPr="00954887">
              <w:t>prestataires</w:t>
            </w:r>
            <w:proofErr w:type="spellEnd"/>
            <w:r w:rsidRPr="00954887">
              <w:t xml:space="preserve"> de santé sur la recherche active, le </w:t>
            </w:r>
            <w:proofErr w:type="spellStart"/>
            <w:r w:rsidRPr="00954887">
              <w:t>contrôle</w:t>
            </w:r>
            <w:proofErr w:type="spellEnd"/>
            <w:r w:rsidRPr="00954887">
              <w:t xml:space="preserve"> et la PEC de la TB</w:t>
            </w:r>
          </w:p>
          <w:p w14:paraId="0F6404FE" w14:textId="1B0A0B7D" w:rsidR="00DB4A33" w:rsidRDefault="00954887" w:rsidP="00390EA4">
            <w:pPr>
              <w:pStyle w:val="liste1"/>
            </w:pPr>
            <w:r w:rsidRPr="00954887">
              <w:t>Doter les str</w:t>
            </w:r>
            <w:r w:rsidR="00F221B1">
              <w:t>uc</w:t>
            </w:r>
            <w:r w:rsidRPr="00954887">
              <w:t xml:space="preserve">tures </w:t>
            </w:r>
            <w:proofErr w:type="spellStart"/>
            <w:r w:rsidRPr="00954887">
              <w:t>concernées</w:t>
            </w:r>
            <w:proofErr w:type="spellEnd"/>
            <w:r w:rsidRPr="00954887">
              <w:t xml:space="preserve"> de matériel et supports de </w:t>
            </w:r>
            <w:proofErr w:type="spellStart"/>
            <w:r w:rsidRPr="00954887">
              <w:t>sensibilisation</w:t>
            </w:r>
            <w:proofErr w:type="spellEnd"/>
            <w:r w:rsidRPr="00954887">
              <w:t xml:space="preserve"> sur le </w:t>
            </w:r>
            <w:proofErr w:type="spellStart"/>
            <w:r w:rsidRPr="00954887">
              <w:t>contrôle</w:t>
            </w:r>
            <w:proofErr w:type="spellEnd"/>
            <w:r w:rsidRPr="00954887">
              <w:t xml:space="preserve"> de la TB</w:t>
            </w:r>
          </w:p>
          <w:p w14:paraId="75D3A232" w14:textId="6B6789AF" w:rsidR="00954887" w:rsidRPr="00954887" w:rsidRDefault="00954887" w:rsidP="00390EA4">
            <w:pPr>
              <w:pStyle w:val="liste1"/>
            </w:pPr>
            <w:proofErr w:type="spellStart"/>
            <w:r w:rsidRPr="00954887">
              <w:t>Conduire</w:t>
            </w:r>
            <w:proofErr w:type="spellEnd"/>
            <w:r w:rsidRPr="00954887">
              <w:t xml:space="preserve"> des </w:t>
            </w:r>
            <w:proofErr w:type="spellStart"/>
            <w:r w:rsidRPr="00954887">
              <w:t>visites</w:t>
            </w:r>
            <w:proofErr w:type="spellEnd"/>
            <w:r w:rsidRPr="00954887">
              <w:t xml:space="preserve">/missions de </w:t>
            </w:r>
            <w:proofErr w:type="spellStart"/>
            <w:r w:rsidRPr="00954887">
              <w:t>suivi</w:t>
            </w:r>
            <w:proofErr w:type="spellEnd"/>
            <w:r w:rsidRPr="00954887">
              <w:t>/supervision (PNLS + PNLT)</w:t>
            </w:r>
          </w:p>
          <w:p w14:paraId="53023E97" w14:textId="22756936" w:rsidR="00954887" w:rsidRPr="00DB4A33" w:rsidRDefault="00954887" w:rsidP="006F6940">
            <w:pPr>
              <w:pStyle w:val="NormalJBGS"/>
              <w:numPr>
                <w:ilvl w:val="0"/>
                <w:numId w:val="40"/>
              </w:numPr>
              <w:jc w:val="both"/>
              <w:rPr>
                <w:rFonts w:asciiTheme="majorHAnsi" w:hAnsiTheme="majorHAnsi" w:cstheme="majorHAnsi"/>
                <w:b/>
                <w:i w:val="0"/>
                <w:color w:val="auto"/>
                <w:sz w:val="22"/>
                <w:szCs w:val="22"/>
                <w:lang w:val="fr-FR"/>
              </w:rPr>
            </w:pPr>
            <w:r w:rsidRPr="00DB4A33">
              <w:rPr>
                <w:rFonts w:asciiTheme="majorHAnsi" w:hAnsiTheme="majorHAnsi" w:cstheme="majorHAnsi"/>
                <w:b/>
                <w:i w:val="0"/>
                <w:color w:val="auto"/>
                <w:sz w:val="22"/>
                <w:szCs w:val="22"/>
                <w:lang w:val="fr-FR"/>
              </w:rPr>
              <w:t>Dépistage, test et diagnostic</w:t>
            </w:r>
            <w:r w:rsidR="00DB4A33">
              <w:rPr>
                <w:rFonts w:asciiTheme="majorHAnsi" w:hAnsiTheme="majorHAnsi" w:cstheme="majorHAnsi"/>
                <w:b/>
                <w:i w:val="0"/>
                <w:color w:val="auto"/>
                <w:sz w:val="22"/>
                <w:szCs w:val="22"/>
                <w:lang w:val="fr-FR"/>
              </w:rPr>
              <w:t> :</w:t>
            </w:r>
          </w:p>
          <w:p w14:paraId="18280C63" w14:textId="7E19DF27" w:rsidR="00954887" w:rsidRPr="00954887" w:rsidRDefault="00954887" w:rsidP="00390EA4">
            <w:pPr>
              <w:pStyle w:val="liste1"/>
            </w:pPr>
            <w:r w:rsidRPr="00954887">
              <w:t xml:space="preserve">Assurer la </w:t>
            </w:r>
            <w:proofErr w:type="spellStart"/>
            <w:r w:rsidRPr="00954887">
              <w:t>référence</w:t>
            </w:r>
            <w:proofErr w:type="spellEnd"/>
            <w:r w:rsidRPr="00954887">
              <w:t xml:space="preserve"> des </w:t>
            </w:r>
            <w:proofErr w:type="spellStart"/>
            <w:r w:rsidRPr="00954887">
              <w:t>cas</w:t>
            </w:r>
            <w:proofErr w:type="spellEnd"/>
            <w:r w:rsidRPr="00954887">
              <w:t xml:space="preserve"> </w:t>
            </w:r>
            <w:proofErr w:type="spellStart"/>
            <w:r w:rsidRPr="00954887">
              <w:t>présumés</w:t>
            </w:r>
            <w:proofErr w:type="spellEnd"/>
            <w:r w:rsidRPr="00954887">
              <w:t xml:space="preserve"> TB des structures ne </w:t>
            </w:r>
            <w:proofErr w:type="spellStart"/>
            <w:r w:rsidRPr="00954887">
              <w:t>disposant</w:t>
            </w:r>
            <w:proofErr w:type="spellEnd"/>
            <w:r w:rsidRPr="00954887">
              <w:t xml:space="preserve"> pas de CDT </w:t>
            </w:r>
            <w:proofErr w:type="spellStart"/>
            <w:r w:rsidRPr="00954887">
              <w:t>vers</w:t>
            </w:r>
            <w:proofErr w:type="spellEnd"/>
            <w:r w:rsidRPr="00954887">
              <w:t xml:space="preserve"> les structures de PEC de la </w:t>
            </w:r>
            <w:proofErr w:type="spellStart"/>
            <w:r w:rsidRPr="00954887">
              <w:t>tuberculose</w:t>
            </w:r>
            <w:proofErr w:type="spellEnd"/>
          </w:p>
          <w:p w14:paraId="536FEA29" w14:textId="0F9179B6" w:rsidR="00954887" w:rsidRPr="00DB4A33" w:rsidRDefault="00954887" w:rsidP="006F6940">
            <w:pPr>
              <w:pStyle w:val="NormalJBGS"/>
              <w:numPr>
                <w:ilvl w:val="0"/>
                <w:numId w:val="40"/>
              </w:numPr>
              <w:jc w:val="both"/>
              <w:rPr>
                <w:rFonts w:asciiTheme="majorHAnsi" w:hAnsiTheme="majorHAnsi" w:cstheme="majorHAnsi"/>
                <w:b/>
                <w:i w:val="0"/>
                <w:color w:val="auto"/>
                <w:sz w:val="22"/>
                <w:szCs w:val="22"/>
                <w:lang w:val="fr-FR"/>
              </w:rPr>
            </w:pPr>
            <w:r w:rsidRPr="00DB4A33">
              <w:rPr>
                <w:rFonts w:asciiTheme="majorHAnsi" w:hAnsiTheme="majorHAnsi" w:cstheme="majorHAnsi"/>
                <w:b/>
                <w:i w:val="0"/>
                <w:color w:val="auto"/>
                <w:sz w:val="22"/>
                <w:szCs w:val="22"/>
                <w:lang w:val="fr-FR"/>
              </w:rPr>
              <w:t>Prévention</w:t>
            </w:r>
            <w:r w:rsidR="00DB4A33">
              <w:rPr>
                <w:rFonts w:asciiTheme="majorHAnsi" w:hAnsiTheme="majorHAnsi" w:cstheme="majorHAnsi"/>
                <w:b/>
                <w:i w:val="0"/>
                <w:color w:val="auto"/>
                <w:sz w:val="22"/>
                <w:szCs w:val="22"/>
                <w:lang w:val="fr-FR"/>
              </w:rPr>
              <w:t> :</w:t>
            </w:r>
          </w:p>
          <w:p w14:paraId="07770994" w14:textId="4192E09E" w:rsidR="00954887" w:rsidRPr="00954887" w:rsidRDefault="00954887" w:rsidP="00390EA4">
            <w:pPr>
              <w:pStyle w:val="liste1"/>
            </w:pPr>
            <w:r w:rsidRPr="00954887">
              <w:t xml:space="preserve">Assurer le </w:t>
            </w:r>
            <w:proofErr w:type="spellStart"/>
            <w:r w:rsidRPr="00954887">
              <w:t>suivi</w:t>
            </w:r>
            <w:proofErr w:type="spellEnd"/>
            <w:r w:rsidR="00F221B1">
              <w:t xml:space="preserve"> </w:t>
            </w:r>
            <w:r w:rsidRPr="00954887">
              <w:t>/</w:t>
            </w:r>
            <w:r w:rsidR="00F221B1">
              <w:t xml:space="preserve"> </w:t>
            </w:r>
            <w:r w:rsidRPr="00954887">
              <w:t xml:space="preserve">supervision des interventions et des </w:t>
            </w:r>
            <w:proofErr w:type="spellStart"/>
            <w:r w:rsidRPr="00954887">
              <w:t>intervenants</w:t>
            </w:r>
            <w:proofErr w:type="spellEnd"/>
            <w:r w:rsidRPr="00954887">
              <w:t xml:space="preserve"> de mise </w:t>
            </w:r>
            <w:proofErr w:type="spellStart"/>
            <w:r w:rsidRPr="00954887">
              <w:t>en</w:t>
            </w:r>
            <w:proofErr w:type="spellEnd"/>
            <w:r w:rsidRPr="00954887">
              <w:t xml:space="preserve"> </w:t>
            </w:r>
            <w:proofErr w:type="spellStart"/>
            <w:r w:rsidRPr="00954887">
              <w:t>œuvre</w:t>
            </w:r>
            <w:proofErr w:type="spellEnd"/>
            <w:r w:rsidRPr="00954887">
              <w:t xml:space="preserve"> de la TPI</w:t>
            </w:r>
          </w:p>
          <w:p w14:paraId="64341746" w14:textId="543093BE" w:rsidR="00954887" w:rsidRPr="00954887" w:rsidRDefault="00954887" w:rsidP="00390EA4">
            <w:pPr>
              <w:pStyle w:val="liste1"/>
            </w:pPr>
            <w:r w:rsidRPr="00954887">
              <w:t xml:space="preserve">Former les </w:t>
            </w:r>
            <w:proofErr w:type="spellStart"/>
            <w:r w:rsidR="00F221B1">
              <w:t>professionnels</w:t>
            </w:r>
            <w:proofErr w:type="spellEnd"/>
            <w:r w:rsidR="00F221B1">
              <w:t xml:space="preserve"> de santé, </w:t>
            </w:r>
            <w:proofErr w:type="spellStart"/>
            <w:r w:rsidR="00F221B1" w:rsidRPr="00954887">
              <w:t>communautaires</w:t>
            </w:r>
            <w:proofErr w:type="spellEnd"/>
            <w:r w:rsidR="00F221B1" w:rsidRPr="00954887">
              <w:t xml:space="preserve"> (ASC) </w:t>
            </w:r>
            <w:r w:rsidRPr="00954887">
              <w:t xml:space="preserve">sur la mise </w:t>
            </w:r>
            <w:proofErr w:type="spellStart"/>
            <w:r w:rsidRPr="00954887">
              <w:t>en</w:t>
            </w:r>
            <w:proofErr w:type="spellEnd"/>
            <w:r w:rsidRPr="00954887">
              <w:t xml:space="preserve"> </w:t>
            </w:r>
            <w:proofErr w:type="spellStart"/>
            <w:r w:rsidRPr="00954887">
              <w:t>œuvre</w:t>
            </w:r>
            <w:proofErr w:type="spellEnd"/>
            <w:r w:rsidRPr="00954887">
              <w:t xml:space="preserve"> de la TP</w:t>
            </w:r>
            <w:r w:rsidR="00F221B1">
              <w:t xml:space="preserve">I et le </w:t>
            </w:r>
            <w:proofErr w:type="spellStart"/>
            <w:r w:rsidRPr="00954887">
              <w:t>contr</w:t>
            </w:r>
            <w:r w:rsidR="00F221B1">
              <w:t>ô</w:t>
            </w:r>
            <w:r w:rsidRPr="00954887">
              <w:t>le</w:t>
            </w:r>
            <w:proofErr w:type="spellEnd"/>
            <w:r w:rsidRPr="00954887">
              <w:t xml:space="preserve"> de </w:t>
            </w:r>
            <w:proofErr w:type="spellStart"/>
            <w:r w:rsidRPr="00954887">
              <w:t>l’infection</w:t>
            </w:r>
            <w:proofErr w:type="spellEnd"/>
            <w:r w:rsidRPr="00954887">
              <w:t xml:space="preserve"> TB</w:t>
            </w:r>
          </w:p>
          <w:p w14:paraId="3442F3E7" w14:textId="7ED18C8C" w:rsidR="00954887" w:rsidRPr="00954887" w:rsidRDefault="00954887" w:rsidP="00390EA4">
            <w:pPr>
              <w:pStyle w:val="liste1"/>
            </w:pPr>
            <w:proofErr w:type="spellStart"/>
            <w:r w:rsidRPr="00954887">
              <w:t>Acquérir</w:t>
            </w:r>
            <w:proofErr w:type="spellEnd"/>
            <w:r w:rsidRPr="00954887">
              <w:t xml:space="preserve"> </w:t>
            </w:r>
            <w:r w:rsidR="00F221B1">
              <w:t xml:space="preserve">les </w:t>
            </w:r>
            <w:proofErr w:type="spellStart"/>
            <w:r w:rsidR="00F221B1">
              <w:t>intrants</w:t>
            </w:r>
            <w:proofErr w:type="spellEnd"/>
            <w:r w:rsidR="00F221B1">
              <w:t xml:space="preserve"> (</w:t>
            </w:r>
            <w:r w:rsidRPr="00954887">
              <w:t xml:space="preserve">films de </w:t>
            </w:r>
            <w:proofErr w:type="spellStart"/>
            <w:r w:rsidRPr="00954887">
              <w:t>radiographie</w:t>
            </w:r>
            <w:proofErr w:type="spellEnd"/>
            <w:r w:rsidRPr="00954887">
              <w:t xml:space="preserve"> </w:t>
            </w:r>
            <w:proofErr w:type="spellStart"/>
            <w:r w:rsidRPr="00954887">
              <w:t>pulmonaire</w:t>
            </w:r>
            <w:proofErr w:type="spellEnd"/>
            <w:r w:rsidR="00F221B1">
              <w:t>,</w:t>
            </w:r>
            <w:r w:rsidRPr="00954887">
              <w:t xml:space="preserve"> </w:t>
            </w:r>
            <w:r w:rsidR="00F221B1" w:rsidRPr="00954887">
              <w:t xml:space="preserve">cartouches </w:t>
            </w:r>
            <w:proofErr w:type="spellStart"/>
            <w:r w:rsidR="00F221B1" w:rsidRPr="00954887">
              <w:t>Xpert</w:t>
            </w:r>
            <w:proofErr w:type="spellEnd"/>
            <w:r w:rsidR="00F221B1">
              <w:t xml:space="preserve">) pour le diagnostic de la TB chez </w:t>
            </w:r>
            <w:r w:rsidRPr="00954887">
              <w:rPr>
                <w:b/>
              </w:rPr>
              <w:t>les</w:t>
            </w:r>
            <w:r w:rsidRPr="00954887">
              <w:t xml:space="preserve"> </w:t>
            </w:r>
            <w:r w:rsidRPr="00954887">
              <w:rPr>
                <w:b/>
              </w:rPr>
              <w:t>PVVIH</w:t>
            </w:r>
            <w:r w:rsidRPr="00954887">
              <w:t xml:space="preserve"> </w:t>
            </w:r>
          </w:p>
          <w:p w14:paraId="49C7CD1F" w14:textId="231DD122" w:rsidR="00954887" w:rsidRPr="00390EA4" w:rsidRDefault="00954887" w:rsidP="00390EA4">
            <w:pPr>
              <w:pStyle w:val="liste1"/>
              <w:rPr>
                <w:b/>
              </w:rPr>
            </w:pPr>
            <w:proofErr w:type="spellStart"/>
            <w:r w:rsidRPr="00954887">
              <w:t>Acquérir</w:t>
            </w:r>
            <w:proofErr w:type="spellEnd"/>
            <w:r w:rsidRPr="00954887">
              <w:t xml:space="preserve"> des </w:t>
            </w:r>
            <w:proofErr w:type="spellStart"/>
            <w:r w:rsidR="00F221B1">
              <w:t>produits</w:t>
            </w:r>
            <w:proofErr w:type="spellEnd"/>
            <w:r w:rsidR="00F221B1">
              <w:t xml:space="preserve"> de santé</w:t>
            </w:r>
            <w:r w:rsidR="00F221B1" w:rsidRPr="00954887">
              <w:t xml:space="preserve"> </w:t>
            </w:r>
            <w:r w:rsidRPr="00954887">
              <w:t xml:space="preserve">pour la TPI chez les PVVIH </w:t>
            </w:r>
            <w:proofErr w:type="spellStart"/>
            <w:r w:rsidRPr="00954887">
              <w:t>adultes</w:t>
            </w:r>
            <w:proofErr w:type="spellEnd"/>
            <w:r w:rsidRPr="00954887">
              <w:t xml:space="preserve"> et adolescents et enfants</w:t>
            </w:r>
            <w:r w:rsidR="00F221B1">
              <w:t xml:space="preserve"> (</w:t>
            </w:r>
            <w:proofErr w:type="spellStart"/>
            <w:r w:rsidR="00F221B1">
              <w:t>isoniazide</w:t>
            </w:r>
            <w:proofErr w:type="spellEnd"/>
            <w:r w:rsidR="00F221B1">
              <w:t xml:space="preserve">, </w:t>
            </w:r>
            <w:r w:rsidRPr="00954887">
              <w:t>pyridoxine</w:t>
            </w:r>
            <w:r w:rsidR="00F221B1">
              <w:t>)</w:t>
            </w:r>
          </w:p>
          <w:p w14:paraId="111509B6" w14:textId="49ECDD51" w:rsidR="00954887" w:rsidRPr="00954887" w:rsidRDefault="00954887" w:rsidP="00390EA4">
            <w:pPr>
              <w:pStyle w:val="liste1"/>
            </w:pPr>
            <w:proofErr w:type="spellStart"/>
            <w:r w:rsidRPr="00954887">
              <w:t>Reproduire</w:t>
            </w:r>
            <w:proofErr w:type="spellEnd"/>
            <w:r w:rsidRPr="00954887">
              <w:t xml:space="preserve"> et diffuser les </w:t>
            </w:r>
            <w:proofErr w:type="spellStart"/>
            <w:r w:rsidRPr="00954887">
              <w:t>matériels</w:t>
            </w:r>
            <w:proofErr w:type="spellEnd"/>
            <w:r w:rsidRPr="00954887">
              <w:t xml:space="preserve"> de </w:t>
            </w:r>
            <w:proofErr w:type="spellStart"/>
            <w:r w:rsidRPr="00954887">
              <w:t>sensibilisation</w:t>
            </w:r>
            <w:proofErr w:type="spellEnd"/>
            <w:r w:rsidRPr="00954887">
              <w:t xml:space="preserve"> sur les </w:t>
            </w:r>
            <w:proofErr w:type="spellStart"/>
            <w:r w:rsidRPr="00954887">
              <w:t>mesures</w:t>
            </w:r>
            <w:proofErr w:type="spellEnd"/>
            <w:r w:rsidRPr="00954887">
              <w:t xml:space="preserve"> de </w:t>
            </w:r>
            <w:proofErr w:type="spellStart"/>
            <w:r w:rsidRPr="00954887">
              <w:t>contrôle</w:t>
            </w:r>
            <w:proofErr w:type="spellEnd"/>
            <w:r w:rsidRPr="00954887">
              <w:t xml:space="preserve"> de </w:t>
            </w:r>
            <w:proofErr w:type="spellStart"/>
            <w:r w:rsidRPr="00954887">
              <w:t>l’infection</w:t>
            </w:r>
            <w:proofErr w:type="spellEnd"/>
            <w:r w:rsidRPr="00954887">
              <w:t xml:space="preserve"> </w:t>
            </w:r>
            <w:proofErr w:type="spellStart"/>
            <w:r w:rsidRPr="00954887">
              <w:t>tuberculeuse</w:t>
            </w:r>
            <w:proofErr w:type="spellEnd"/>
            <w:r w:rsidRPr="00954887">
              <w:t xml:space="preserve"> dans les structures de santé et dans la </w:t>
            </w:r>
            <w:proofErr w:type="spellStart"/>
            <w:r w:rsidRPr="00954887">
              <w:t>communauté</w:t>
            </w:r>
            <w:proofErr w:type="spellEnd"/>
          </w:p>
          <w:p w14:paraId="6F2250B9" w14:textId="5C9E3D1B" w:rsidR="00954887" w:rsidRPr="00643248" w:rsidRDefault="00954887" w:rsidP="006F6940">
            <w:pPr>
              <w:pStyle w:val="NormalJBGS"/>
              <w:numPr>
                <w:ilvl w:val="0"/>
                <w:numId w:val="40"/>
              </w:numPr>
              <w:jc w:val="both"/>
              <w:rPr>
                <w:rFonts w:asciiTheme="majorHAnsi" w:hAnsiTheme="majorHAnsi" w:cstheme="majorHAnsi"/>
                <w:b/>
                <w:i w:val="0"/>
                <w:color w:val="auto"/>
                <w:sz w:val="22"/>
                <w:szCs w:val="22"/>
                <w:lang w:val="fr-FR"/>
              </w:rPr>
            </w:pPr>
            <w:r w:rsidRPr="00643248">
              <w:rPr>
                <w:rFonts w:asciiTheme="majorHAnsi" w:hAnsiTheme="majorHAnsi" w:cstheme="majorHAnsi"/>
                <w:b/>
                <w:i w:val="0"/>
                <w:color w:val="auto"/>
                <w:sz w:val="22"/>
                <w:szCs w:val="22"/>
                <w:lang w:val="fr-FR"/>
              </w:rPr>
              <w:t>Prise en charge communautaire de la coïnfection TB/VIH</w:t>
            </w:r>
            <w:r w:rsidR="00643248">
              <w:rPr>
                <w:rFonts w:asciiTheme="majorHAnsi" w:hAnsiTheme="majorHAnsi" w:cstheme="majorHAnsi"/>
                <w:b/>
                <w:i w:val="0"/>
                <w:color w:val="auto"/>
                <w:sz w:val="22"/>
                <w:szCs w:val="22"/>
                <w:lang w:val="fr-FR"/>
              </w:rPr>
              <w:t> :</w:t>
            </w:r>
          </w:p>
          <w:p w14:paraId="127FBF99" w14:textId="7745A014" w:rsidR="00954887" w:rsidRPr="00954887" w:rsidRDefault="00F221B1" w:rsidP="00390EA4">
            <w:pPr>
              <w:pStyle w:val="liste1"/>
            </w:pPr>
            <w:r>
              <w:t>Former</w:t>
            </w:r>
            <w:r w:rsidR="00954887" w:rsidRPr="00954887">
              <w:t xml:space="preserve"> les </w:t>
            </w:r>
            <w:proofErr w:type="spellStart"/>
            <w:r w:rsidR="00954887" w:rsidRPr="00954887">
              <w:t>prestataires</w:t>
            </w:r>
            <w:proofErr w:type="spellEnd"/>
            <w:r w:rsidR="00954887" w:rsidRPr="00954887">
              <w:t xml:space="preserve"> </w:t>
            </w:r>
            <w:proofErr w:type="spellStart"/>
            <w:r w:rsidR="00954887" w:rsidRPr="00954887">
              <w:t>communautaires</w:t>
            </w:r>
            <w:proofErr w:type="spellEnd"/>
            <w:r w:rsidR="00954887" w:rsidRPr="00954887">
              <w:t xml:space="preserve"> sur la co-infection TB/VIH</w:t>
            </w:r>
          </w:p>
          <w:p w14:paraId="27BC2A2A" w14:textId="53E2E894" w:rsidR="00954887" w:rsidRDefault="00F221B1" w:rsidP="00390EA4">
            <w:pPr>
              <w:pStyle w:val="liste1"/>
            </w:pPr>
            <w:proofErr w:type="spellStart"/>
            <w:r>
              <w:t>O</w:t>
            </w:r>
            <w:r w:rsidR="00954887" w:rsidRPr="00954887">
              <w:t>rganiser</w:t>
            </w:r>
            <w:proofErr w:type="spellEnd"/>
            <w:r w:rsidR="00954887" w:rsidRPr="00954887">
              <w:t xml:space="preserve"> la recherch</w:t>
            </w:r>
            <w:r>
              <w:t>e active</w:t>
            </w:r>
            <w:r w:rsidR="00954887" w:rsidRPr="00954887">
              <w:t xml:space="preserve"> de TB chez les PVVIH dans la </w:t>
            </w:r>
            <w:proofErr w:type="spellStart"/>
            <w:r w:rsidR="00954887" w:rsidRPr="00954887">
              <w:t>communauté</w:t>
            </w:r>
            <w:proofErr w:type="spellEnd"/>
          </w:p>
          <w:p w14:paraId="239F7496" w14:textId="349104B1" w:rsidR="00A735CA" w:rsidRPr="00390EA4" w:rsidRDefault="00A735CA" w:rsidP="00A735CA">
            <w:pPr>
              <w:pStyle w:val="NormalNoSpace"/>
              <w:rPr>
                <w:rFonts w:eastAsia="Calibri"/>
                <w:lang w:val="fr-FR"/>
              </w:rPr>
            </w:pPr>
            <w:r w:rsidRPr="00390EA4">
              <w:rPr>
                <w:rFonts w:eastAsia="Calibri"/>
                <w:lang w:val="fr-FR"/>
              </w:rPr>
              <w:t xml:space="preserve">Les interventions de prestations de services </w:t>
            </w:r>
            <w:r w:rsidR="00F221B1" w:rsidRPr="00390EA4">
              <w:rPr>
                <w:rFonts w:eastAsia="Calibri"/>
                <w:lang w:val="fr-FR"/>
              </w:rPr>
              <w:t xml:space="preserve">ci-dessus </w:t>
            </w:r>
            <w:r w:rsidRPr="00390EA4">
              <w:rPr>
                <w:rFonts w:eastAsia="Calibri"/>
                <w:lang w:val="fr-FR"/>
              </w:rPr>
              <w:t xml:space="preserve">seront </w:t>
            </w:r>
            <w:proofErr w:type="spellStart"/>
            <w:r w:rsidRPr="00390EA4">
              <w:rPr>
                <w:rFonts w:eastAsia="Calibri"/>
                <w:lang w:val="fr-FR"/>
              </w:rPr>
              <w:t>reparties</w:t>
            </w:r>
            <w:proofErr w:type="spellEnd"/>
            <w:r w:rsidRPr="00390EA4">
              <w:rPr>
                <w:rFonts w:eastAsia="Calibri"/>
                <w:lang w:val="fr-FR"/>
              </w:rPr>
              <w:t xml:space="preserve"> entre le PNLS (activités </w:t>
            </w:r>
            <w:r w:rsidR="00F221B1" w:rsidRPr="00390EA4">
              <w:rPr>
                <w:rFonts w:eastAsia="Calibri"/>
                <w:lang w:val="fr-FR"/>
              </w:rPr>
              <w:t>des</w:t>
            </w:r>
            <w:r w:rsidRPr="00390EA4">
              <w:rPr>
                <w:rFonts w:eastAsia="Calibri"/>
                <w:lang w:val="fr-FR"/>
              </w:rPr>
              <w:t xml:space="preserve"> sites </w:t>
            </w:r>
            <w:r w:rsidR="00F221B1" w:rsidRPr="00390EA4">
              <w:rPr>
                <w:rFonts w:eastAsia="Calibri"/>
                <w:lang w:val="fr-FR"/>
              </w:rPr>
              <w:t xml:space="preserve">de prise en charge </w:t>
            </w:r>
            <w:r w:rsidRPr="00390EA4">
              <w:rPr>
                <w:rFonts w:eastAsia="Calibri"/>
                <w:lang w:val="fr-FR"/>
              </w:rPr>
              <w:t>non soutenus</w:t>
            </w:r>
            <w:r w:rsidR="00F221B1" w:rsidRPr="00390EA4">
              <w:rPr>
                <w:rFonts w:eastAsia="Calibri"/>
                <w:lang w:val="fr-FR"/>
              </w:rPr>
              <w:t xml:space="preserve"> par le PEPFAR</w:t>
            </w:r>
            <w:r w:rsidRPr="00390EA4">
              <w:rPr>
                <w:rFonts w:eastAsia="Calibri"/>
                <w:lang w:val="fr-FR"/>
              </w:rPr>
              <w:t>)</w:t>
            </w:r>
            <w:r w:rsidR="00F221B1" w:rsidRPr="00390EA4">
              <w:rPr>
                <w:rFonts w:eastAsia="Calibri"/>
                <w:lang w:val="fr-FR"/>
              </w:rPr>
              <w:t xml:space="preserve"> et</w:t>
            </w:r>
            <w:r w:rsidRPr="00390EA4">
              <w:rPr>
                <w:rFonts w:eastAsia="Calibri"/>
                <w:lang w:val="fr-FR"/>
              </w:rPr>
              <w:t xml:space="preserve"> Alliance</w:t>
            </w:r>
            <w:r w:rsidR="00F221B1" w:rsidRPr="00390EA4">
              <w:rPr>
                <w:rFonts w:eastAsia="Calibri"/>
                <w:lang w:val="fr-FR"/>
              </w:rPr>
              <w:t xml:space="preserve"> Côte d’Ivoire</w:t>
            </w:r>
            <w:r w:rsidRPr="00390EA4">
              <w:rPr>
                <w:rFonts w:eastAsia="Calibri"/>
                <w:lang w:val="fr-FR"/>
              </w:rPr>
              <w:t xml:space="preserve"> (activités communaut</w:t>
            </w:r>
            <w:r w:rsidR="00F221B1" w:rsidRPr="00390EA4">
              <w:rPr>
                <w:rFonts w:eastAsia="Calibri"/>
                <w:lang w:val="fr-FR"/>
              </w:rPr>
              <w:t>a</w:t>
            </w:r>
            <w:r w:rsidRPr="00390EA4">
              <w:rPr>
                <w:rFonts w:eastAsia="Calibri"/>
                <w:lang w:val="fr-FR"/>
              </w:rPr>
              <w:t xml:space="preserve">ires) </w:t>
            </w:r>
            <w:r w:rsidR="00214A4D" w:rsidRPr="00F57F72">
              <w:rPr>
                <w:rFonts w:eastAsia="Calibri"/>
                <w:lang w:val="fr-FR"/>
              </w:rPr>
              <w:t xml:space="preserve">dans les 36 DS </w:t>
            </w:r>
            <w:r w:rsidR="00214A4D" w:rsidRPr="00761965">
              <w:rPr>
                <w:rFonts w:eastAsia="Calibri"/>
                <w:lang w:val="fr-FR"/>
              </w:rPr>
              <w:t>prioritaires pour la prise en charge du VIH</w:t>
            </w:r>
            <w:r w:rsidR="00F221B1" w:rsidRPr="00390EA4">
              <w:rPr>
                <w:rFonts w:eastAsia="Calibri"/>
                <w:lang w:val="fr-FR"/>
              </w:rPr>
              <w:t>.</w:t>
            </w:r>
          </w:p>
          <w:p w14:paraId="11F98059" w14:textId="7DA4E444" w:rsidR="00A735CA" w:rsidRDefault="00AB286C" w:rsidP="004C6EBC">
            <w:pPr>
              <w:autoSpaceDE w:val="0"/>
              <w:autoSpaceDN w:val="0"/>
              <w:adjustRightInd w:val="0"/>
              <w:spacing w:after="0" w:line="240" w:lineRule="auto"/>
              <w:rPr>
                <w:i/>
                <w:sz w:val="22"/>
                <w:szCs w:val="22"/>
              </w:rPr>
            </w:pPr>
            <w:r w:rsidRPr="00AB286C">
              <w:rPr>
                <w:b/>
                <w:bCs/>
                <w:iCs/>
                <w:sz w:val="22"/>
                <w:szCs w:val="22"/>
              </w:rPr>
              <w:t xml:space="preserve">Cf. </w:t>
            </w:r>
            <w:proofErr w:type="spellStart"/>
            <w:r w:rsidRPr="00AB286C">
              <w:rPr>
                <w:b/>
                <w:bCs/>
                <w:iCs/>
                <w:sz w:val="22"/>
                <w:szCs w:val="22"/>
              </w:rPr>
              <w:t>cartographie</w:t>
            </w:r>
            <w:proofErr w:type="spellEnd"/>
            <w:r w:rsidRPr="00AB286C">
              <w:rPr>
                <w:b/>
                <w:bCs/>
                <w:iCs/>
                <w:sz w:val="22"/>
                <w:szCs w:val="22"/>
              </w:rPr>
              <w:t xml:space="preserve"> de </w:t>
            </w:r>
            <w:proofErr w:type="spellStart"/>
            <w:r w:rsidRPr="00AB286C">
              <w:rPr>
                <w:b/>
                <w:bCs/>
                <w:iCs/>
                <w:sz w:val="22"/>
                <w:szCs w:val="22"/>
              </w:rPr>
              <w:t>l’offre</w:t>
            </w:r>
            <w:proofErr w:type="spellEnd"/>
            <w:r w:rsidRPr="00AB286C">
              <w:rPr>
                <w:b/>
                <w:bCs/>
                <w:iCs/>
                <w:sz w:val="22"/>
                <w:szCs w:val="22"/>
              </w:rPr>
              <w:t xml:space="preserve"> de services PEPFAR et FM </w:t>
            </w:r>
            <w:r w:rsidR="004C6EBC" w:rsidRPr="004C6EBC">
              <w:rPr>
                <w:i/>
                <w:sz w:val="22"/>
                <w:szCs w:val="22"/>
              </w:rPr>
              <w:t>(</w:t>
            </w:r>
            <w:proofErr w:type="spellStart"/>
            <w:r w:rsidR="004C6EBC" w:rsidRPr="00EC44B1">
              <w:rPr>
                <w:i/>
                <w:color w:val="FF0000"/>
                <w:sz w:val="22"/>
                <w:szCs w:val="22"/>
              </w:rPr>
              <w:t>Annexe</w:t>
            </w:r>
            <w:proofErr w:type="spellEnd"/>
            <w:r w:rsidR="004C6EBC" w:rsidRPr="00EC44B1">
              <w:rPr>
                <w:i/>
                <w:color w:val="FF0000"/>
                <w:sz w:val="22"/>
                <w:szCs w:val="22"/>
              </w:rPr>
              <w:t xml:space="preserve"> </w:t>
            </w:r>
            <w:r w:rsidR="00EC44B1" w:rsidRPr="00EC44B1">
              <w:rPr>
                <w:i/>
                <w:color w:val="FF0000"/>
                <w:sz w:val="22"/>
                <w:szCs w:val="22"/>
              </w:rPr>
              <w:t>27</w:t>
            </w:r>
            <w:r w:rsidR="004C6EBC" w:rsidRPr="004C6EBC">
              <w:rPr>
                <w:i/>
                <w:sz w:val="22"/>
                <w:szCs w:val="22"/>
              </w:rPr>
              <w:t>)</w:t>
            </w:r>
          </w:p>
          <w:p w14:paraId="55B4FCEA" w14:textId="1ED2A465" w:rsidR="004C6EBC" w:rsidRPr="004C6EBC" w:rsidRDefault="004C6EBC" w:rsidP="004C6EBC">
            <w:pPr>
              <w:autoSpaceDE w:val="0"/>
              <w:autoSpaceDN w:val="0"/>
              <w:adjustRightInd w:val="0"/>
              <w:spacing w:after="0" w:line="240" w:lineRule="auto"/>
              <w:rPr>
                <w:b/>
                <w:bCs/>
                <w:iCs/>
                <w:color w:val="0070C0"/>
                <w:sz w:val="22"/>
                <w:szCs w:val="22"/>
              </w:rPr>
            </w:pPr>
          </w:p>
        </w:tc>
      </w:tr>
      <w:tr w:rsidR="000272A7" w:rsidRPr="0037522B" w14:paraId="3CB573D9" w14:textId="77777777" w:rsidTr="007A0F0B">
        <w:trPr>
          <w:trHeight w:val="288"/>
        </w:trPr>
        <w:tc>
          <w:tcPr>
            <w:tcW w:w="1560" w:type="dxa"/>
            <w:shd w:val="clear" w:color="auto" w:fill="F2F2F2"/>
            <w:vAlign w:val="center"/>
          </w:tcPr>
          <w:p w14:paraId="0720A15E" w14:textId="77777777" w:rsidR="000272A7" w:rsidRPr="007F7A64" w:rsidRDefault="000272A7" w:rsidP="00E80CEF">
            <w:pPr>
              <w:spacing w:after="0"/>
              <w:rPr>
                <w:b/>
              </w:rPr>
            </w:pPr>
            <w:r>
              <w:rPr>
                <w:b/>
                <w:lang w:bidi="fr-FR"/>
              </w:rPr>
              <w:lastRenderedPageBreak/>
              <w:t xml:space="preserve">Populations </w:t>
            </w:r>
            <w:proofErr w:type="spellStart"/>
            <w:r>
              <w:rPr>
                <w:b/>
                <w:lang w:bidi="fr-FR"/>
              </w:rPr>
              <w:t>prioritaires</w:t>
            </w:r>
            <w:proofErr w:type="spellEnd"/>
          </w:p>
        </w:tc>
        <w:tc>
          <w:tcPr>
            <w:tcW w:w="9240" w:type="dxa"/>
          </w:tcPr>
          <w:p w14:paraId="0FD1850A" w14:textId="39D60C19" w:rsidR="000272A7" w:rsidRPr="00EC44B1" w:rsidRDefault="000272A7" w:rsidP="00EC44B1">
            <w:pPr>
              <w:pStyle w:val="Texteformulaire"/>
            </w:pPr>
            <w:r w:rsidRPr="00EC44B1">
              <w:t xml:space="preserve">Les populations </w:t>
            </w:r>
            <w:proofErr w:type="spellStart"/>
            <w:r w:rsidRPr="00EC44B1">
              <w:t>concernées</w:t>
            </w:r>
            <w:proofErr w:type="spellEnd"/>
            <w:r w:rsidRPr="00EC44B1">
              <w:t xml:space="preserve"> </w:t>
            </w:r>
            <w:proofErr w:type="spellStart"/>
            <w:r w:rsidRPr="00EC44B1">
              <w:t>par</w:t>
            </w:r>
            <w:proofErr w:type="spellEnd"/>
            <w:r w:rsidRPr="00EC44B1">
              <w:t xml:space="preserve"> la </w:t>
            </w:r>
            <w:proofErr w:type="spellStart"/>
            <w:r w:rsidRPr="00EC44B1">
              <w:t>présente</w:t>
            </w:r>
            <w:proofErr w:type="spellEnd"/>
            <w:r w:rsidRPr="00EC44B1">
              <w:t xml:space="preserve"> subvention </w:t>
            </w:r>
            <w:proofErr w:type="spellStart"/>
            <w:proofErr w:type="gramStart"/>
            <w:r w:rsidRPr="00EC44B1">
              <w:t>sont</w:t>
            </w:r>
            <w:proofErr w:type="spellEnd"/>
            <w:r w:rsidRPr="00EC44B1">
              <w:t> </w:t>
            </w:r>
            <w:r w:rsidR="00EC44B1">
              <w:t>:</w:t>
            </w:r>
            <w:proofErr w:type="gramEnd"/>
          </w:p>
          <w:p w14:paraId="73E98B26" w14:textId="77777777" w:rsidR="000272A7" w:rsidRPr="00080716" w:rsidRDefault="000272A7" w:rsidP="004E1C7A">
            <w:pPr>
              <w:pStyle w:val="liste1"/>
            </w:pPr>
            <w:r w:rsidRPr="00080716">
              <w:t xml:space="preserve">Population </w:t>
            </w:r>
            <w:proofErr w:type="spellStart"/>
            <w:r w:rsidRPr="00080716">
              <w:t>générale</w:t>
            </w:r>
            <w:proofErr w:type="spellEnd"/>
          </w:p>
          <w:p w14:paraId="618C2BAF" w14:textId="2EEE8A15" w:rsidR="000272A7" w:rsidRPr="00750CA9" w:rsidRDefault="000272A7" w:rsidP="004E1C7A">
            <w:pPr>
              <w:pStyle w:val="liste1"/>
              <w:rPr>
                <w:lang w:val="fr-FR"/>
              </w:rPr>
            </w:pPr>
            <w:r w:rsidRPr="00750CA9">
              <w:rPr>
                <w:lang w:val="fr-FR"/>
              </w:rPr>
              <w:t>Population</w:t>
            </w:r>
            <w:r w:rsidR="00214A4D" w:rsidRPr="00750CA9">
              <w:rPr>
                <w:lang w:val="fr-FR"/>
              </w:rPr>
              <w:t>s</w:t>
            </w:r>
            <w:r w:rsidRPr="00750CA9">
              <w:rPr>
                <w:lang w:val="fr-FR"/>
              </w:rPr>
              <w:t xml:space="preserve"> à risque : enfants, mineurs et communautés minières, habitants des quartiers précaires, habitants des zones d’accès difficile, Populations clés (Usagers de drogues</w:t>
            </w:r>
            <w:r w:rsidRPr="00CD6894">
              <w:t>)</w:t>
            </w:r>
            <w:r w:rsidRPr="00750CA9">
              <w:rPr>
                <w:lang w:val="fr-FR"/>
              </w:rPr>
              <w:t xml:space="preserve"> </w:t>
            </w:r>
          </w:p>
          <w:p w14:paraId="5974D494" w14:textId="77777777" w:rsidR="000272A7" w:rsidRPr="00080716" w:rsidRDefault="000272A7" w:rsidP="004E1C7A">
            <w:pPr>
              <w:pStyle w:val="liste1"/>
            </w:pPr>
            <w:r w:rsidRPr="00080716">
              <w:t xml:space="preserve">Cas </w:t>
            </w:r>
            <w:proofErr w:type="spellStart"/>
            <w:r w:rsidRPr="00080716">
              <w:t>présumés</w:t>
            </w:r>
            <w:proofErr w:type="spellEnd"/>
            <w:r w:rsidRPr="00080716">
              <w:t xml:space="preserve"> de </w:t>
            </w:r>
            <w:proofErr w:type="spellStart"/>
            <w:r w:rsidRPr="00080716">
              <w:t>tuberculose</w:t>
            </w:r>
            <w:proofErr w:type="spellEnd"/>
            <w:r w:rsidRPr="00080716">
              <w:t> </w:t>
            </w:r>
          </w:p>
          <w:p w14:paraId="09DB4A13" w14:textId="51A0D27D" w:rsidR="000272A7" w:rsidRPr="00750CA9" w:rsidRDefault="000272A7" w:rsidP="004E1C7A">
            <w:pPr>
              <w:pStyle w:val="liste1"/>
              <w:rPr>
                <w:lang w:val="fr-FR"/>
              </w:rPr>
            </w:pPr>
            <w:r w:rsidRPr="00750CA9">
              <w:rPr>
                <w:lang w:val="fr-FR"/>
              </w:rPr>
              <w:t>Patients vivant avec le VIH</w:t>
            </w:r>
          </w:p>
        </w:tc>
      </w:tr>
      <w:tr w:rsidR="000272A7" w:rsidRPr="007F7A64" w14:paraId="3AAA0A4C" w14:textId="77777777" w:rsidTr="007A0F0B">
        <w:trPr>
          <w:trHeight w:val="288"/>
        </w:trPr>
        <w:tc>
          <w:tcPr>
            <w:tcW w:w="1560" w:type="dxa"/>
            <w:shd w:val="clear" w:color="auto" w:fill="F2F2F2"/>
            <w:vAlign w:val="center"/>
          </w:tcPr>
          <w:p w14:paraId="182A2779" w14:textId="77777777" w:rsidR="000272A7" w:rsidRDefault="000272A7" w:rsidP="00E80CEF">
            <w:pPr>
              <w:spacing w:after="0"/>
              <w:rPr>
                <w:b/>
              </w:rPr>
            </w:pPr>
            <w:r>
              <w:rPr>
                <w:b/>
                <w:lang w:bidi="fr-FR"/>
              </w:rPr>
              <w:t xml:space="preserve">Obstacles et </w:t>
            </w:r>
            <w:proofErr w:type="spellStart"/>
            <w:r>
              <w:rPr>
                <w:b/>
                <w:lang w:bidi="fr-FR"/>
              </w:rPr>
              <w:t>inégalités</w:t>
            </w:r>
            <w:proofErr w:type="spellEnd"/>
          </w:p>
        </w:tc>
        <w:tc>
          <w:tcPr>
            <w:tcW w:w="9240" w:type="dxa"/>
          </w:tcPr>
          <w:p w14:paraId="43AD9275" w14:textId="77777777" w:rsidR="009744A9" w:rsidRPr="00390EA4" w:rsidRDefault="009744A9" w:rsidP="006F6940">
            <w:pPr>
              <w:numPr>
                <w:ilvl w:val="0"/>
                <w:numId w:val="32"/>
              </w:numPr>
              <w:spacing w:after="160" w:line="256" w:lineRule="auto"/>
              <w:jc w:val="both"/>
              <w:rPr>
                <w:rFonts w:cstheme="minorHAnsi"/>
                <w:b/>
                <w:bCs/>
                <w:sz w:val="22"/>
                <w:szCs w:val="22"/>
              </w:rPr>
            </w:pPr>
            <w:proofErr w:type="spellStart"/>
            <w:r w:rsidRPr="00390EA4">
              <w:rPr>
                <w:rFonts w:cstheme="minorHAnsi"/>
                <w:b/>
                <w:bCs/>
                <w:sz w:val="22"/>
                <w:szCs w:val="22"/>
              </w:rPr>
              <w:t>Rejet</w:t>
            </w:r>
            <w:proofErr w:type="spellEnd"/>
            <w:r w:rsidRPr="00390EA4">
              <w:rPr>
                <w:rFonts w:cstheme="minorHAnsi"/>
                <w:b/>
                <w:bCs/>
                <w:sz w:val="22"/>
                <w:szCs w:val="22"/>
              </w:rPr>
              <w:t xml:space="preserve"> social et discrimination</w:t>
            </w:r>
          </w:p>
          <w:p w14:paraId="74D86F0A" w14:textId="4C004467" w:rsidR="009744A9" w:rsidRPr="00750CA9" w:rsidRDefault="009744A9" w:rsidP="009744A9">
            <w:pPr>
              <w:jc w:val="both"/>
              <w:rPr>
                <w:sz w:val="22"/>
                <w:lang w:val="fr-FR"/>
              </w:rPr>
            </w:pPr>
            <w:r w:rsidRPr="00750CA9">
              <w:rPr>
                <w:sz w:val="22"/>
                <w:lang w:val="fr-FR"/>
              </w:rPr>
              <w:t xml:space="preserve">Malgré les efforts déployés par le pays, la discrimination et la stigmatisation restent élevées. En effet, selon les résultats de l’étude nationale de l’index de la stigmatisation de l’ONUSIDA </w:t>
            </w:r>
            <w:r w:rsidRPr="00750CA9">
              <w:rPr>
                <w:sz w:val="22"/>
                <w:lang w:val="fr-FR"/>
              </w:rPr>
              <w:lastRenderedPageBreak/>
              <w:t>de 2016</w:t>
            </w:r>
            <w:r w:rsidR="00EB57FB">
              <w:rPr>
                <w:sz w:val="22"/>
                <w:lang w:val="fr-FR"/>
              </w:rPr>
              <w:t xml:space="preserve"> </w:t>
            </w:r>
            <w:r w:rsidR="004C6EBC" w:rsidRPr="004C6EBC">
              <w:rPr>
                <w:i/>
                <w:iCs/>
                <w:sz w:val="22"/>
                <w:lang w:val="fr-FR"/>
              </w:rPr>
              <w:t>(</w:t>
            </w:r>
            <w:proofErr w:type="spellStart"/>
            <w:r w:rsidR="004C6EBC" w:rsidRPr="004C6EBC">
              <w:rPr>
                <w:i/>
                <w:sz w:val="22"/>
                <w:szCs w:val="22"/>
              </w:rPr>
              <w:t>Annexe</w:t>
            </w:r>
            <w:proofErr w:type="spellEnd"/>
            <w:r w:rsidR="004C6EBC" w:rsidRPr="004C6EBC">
              <w:rPr>
                <w:i/>
                <w:sz w:val="22"/>
                <w:szCs w:val="22"/>
              </w:rPr>
              <w:t xml:space="preserve"> </w:t>
            </w:r>
            <w:r w:rsidR="004C6EBC">
              <w:rPr>
                <w:i/>
                <w:sz w:val="22"/>
                <w:szCs w:val="22"/>
              </w:rPr>
              <w:t>18</w:t>
            </w:r>
            <w:r w:rsidR="004C6EBC" w:rsidRPr="004C6EBC">
              <w:rPr>
                <w:i/>
                <w:sz w:val="22"/>
                <w:szCs w:val="22"/>
              </w:rPr>
              <w:t>)</w:t>
            </w:r>
            <w:r w:rsidRPr="004C6EBC">
              <w:rPr>
                <w:i/>
                <w:sz w:val="22"/>
                <w:szCs w:val="22"/>
                <w:lang w:val="fr-FR"/>
              </w:rPr>
              <w:t>,</w:t>
            </w:r>
            <w:r w:rsidRPr="00750CA9">
              <w:rPr>
                <w:sz w:val="22"/>
                <w:lang w:val="fr-FR"/>
              </w:rPr>
              <w:t xml:space="preserve"> le niveau global de stigmatisation et</w:t>
            </w:r>
            <w:r w:rsidR="00EC44B1">
              <w:rPr>
                <w:sz w:val="22"/>
                <w:lang w:val="fr-FR"/>
              </w:rPr>
              <w:t>/</w:t>
            </w:r>
            <w:r w:rsidRPr="00750CA9">
              <w:rPr>
                <w:sz w:val="22"/>
                <w:lang w:val="fr-FR"/>
              </w:rPr>
              <w:t xml:space="preserve">ou de discrimination vécue par les PVVIH de la part d’autres personnes </w:t>
            </w:r>
            <w:proofErr w:type="gramStart"/>
            <w:r w:rsidRPr="00750CA9">
              <w:rPr>
                <w:sz w:val="22"/>
                <w:lang w:val="fr-FR"/>
              </w:rPr>
              <w:t>demeure</w:t>
            </w:r>
            <w:proofErr w:type="gramEnd"/>
            <w:r w:rsidRPr="00750CA9">
              <w:rPr>
                <w:sz w:val="22"/>
                <w:lang w:val="fr-FR"/>
              </w:rPr>
              <w:t xml:space="preserve"> élevé.</w:t>
            </w:r>
          </w:p>
          <w:p w14:paraId="2E28B8FC" w14:textId="77777777" w:rsidR="009744A9" w:rsidRPr="00750CA9" w:rsidRDefault="009744A9" w:rsidP="009744A9">
            <w:pPr>
              <w:jc w:val="both"/>
              <w:rPr>
                <w:sz w:val="22"/>
                <w:lang w:val="fr-FR"/>
              </w:rPr>
            </w:pPr>
            <w:r w:rsidRPr="00750CA9">
              <w:rPr>
                <w:sz w:val="22"/>
                <w:lang w:val="fr-FR"/>
              </w:rPr>
              <w:t>L’association de la tuberculose au VIH, pourrait amplifier la stigmatisation et la discrimination à l’endroit de ces personnes et accroître ainsi leur vulnérabilité.</w:t>
            </w:r>
          </w:p>
          <w:p w14:paraId="1655205D" w14:textId="77777777" w:rsidR="009744A9" w:rsidRPr="00750CA9" w:rsidRDefault="009744A9" w:rsidP="006F6940">
            <w:pPr>
              <w:numPr>
                <w:ilvl w:val="0"/>
                <w:numId w:val="32"/>
              </w:numPr>
              <w:spacing w:after="160" w:line="256" w:lineRule="auto"/>
              <w:jc w:val="both"/>
              <w:rPr>
                <w:b/>
                <w:sz w:val="22"/>
                <w:lang w:val="fr-FR"/>
              </w:rPr>
            </w:pPr>
            <w:r w:rsidRPr="00750CA9">
              <w:rPr>
                <w:b/>
                <w:sz w:val="22"/>
                <w:lang w:val="fr-FR"/>
              </w:rPr>
              <w:t>Inégalité entre les genres et violence fondée sur le genre</w:t>
            </w:r>
          </w:p>
          <w:p w14:paraId="2A18AB41" w14:textId="77777777" w:rsidR="009744A9" w:rsidRPr="00750CA9" w:rsidRDefault="009744A9" w:rsidP="009744A9">
            <w:pPr>
              <w:jc w:val="both"/>
              <w:rPr>
                <w:sz w:val="22"/>
                <w:lang w:val="fr-FR"/>
              </w:rPr>
            </w:pPr>
            <w:r w:rsidRPr="00750CA9">
              <w:rPr>
                <w:sz w:val="22"/>
                <w:lang w:val="fr-FR"/>
              </w:rPr>
              <w:t>L’inégalité et la discrimination fondées sur le sexe, le genre, l’identité de genre et l’expression de genre pourraient des causes de vulnérabilité majeure à l’infection à VIH et rendent l’existence des personnes vivant avec le VIH encore plus difficile.</w:t>
            </w:r>
          </w:p>
          <w:p w14:paraId="22B9B014" w14:textId="77777777" w:rsidR="009744A9" w:rsidRPr="004C6EBC" w:rsidRDefault="009744A9" w:rsidP="009744A9">
            <w:pPr>
              <w:jc w:val="both"/>
              <w:rPr>
                <w:rFonts w:cstheme="minorHAnsi"/>
                <w:b/>
                <w:bCs/>
                <w:sz w:val="22"/>
                <w:szCs w:val="22"/>
                <w:lang w:val="fr-CI"/>
              </w:rPr>
            </w:pPr>
            <w:r w:rsidRPr="004C6EBC">
              <w:rPr>
                <w:rFonts w:cstheme="minorHAnsi"/>
                <w:b/>
                <w:bCs/>
                <w:sz w:val="22"/>
                <w:szCs w:val="22"/>
                <w:lang w:val="fr-CI"/>
              </w:rPr>
              <w:t>Mesures envisagées par le PNLS dans le cadre de la lutte conjointe pour éliminer ou atténuer ces obstacles</w:t>
            </w:r>
          </w:p>
          <w:p w14:paraId="48A4A789" w14:textId="77777777" w:rsidR="009744A9" w:rsidRPr="00390EA4" w:rsidRDefault="009744A9" w:rsidP="00390EA4">
            <w:pPr>
              <w:pStyle w:val="liste1"/>
            </w:pPr>
            <w:r w:rsidRPr="00390EA4">
              <w:t xml:space="preserve">Aider à prolonger les messages du PNLT sur la </w:t>
            </w:r>
            <w:proofErr w:type="spellStart"/>
            <w:r w:rsidRPr="00390EA4">
              <w:t>sensibilisation</w:t>
            </w:r>
            <w:proofErr w:type="spellEnd"/>
            <w:r w:rsidRPr="00390EA4">
              <w:t xml:space="preserve"> à travers les </w:t>
            </w:r>
            <w:proofErr w:type="spellStart"/>
            <w:r w:rsidRPr="00390EA4">
              <w:t>médias</w:t>
            </w:r>
            <w:proofErr w:type="spellEnd"/>
            <w:r w:rsidRPr="00390EA4">
              <w:t xml:space="preserve"> sur les droits de </w:t>
            </w:r>
            <w:proofErr w:type="spellStart"/>
            <w:r w:rsidRPr="00390EA4">
              <w:t>l’homme</w:t>
            </w:r>
            <w:proofErr w:type="spellEnd"/>
            <w:r w:rsidRPr="00390EA4">
              <w:t xml:space="preserve"> et la </w:t>
            </w:r>
            <w:proofErr w:type="spellStart"/>
            <w:r w:rsidRPr="00390EA4">
              <w:t>stigmatisation</w:t>
            </w:r>
            <w:proofErr w:type="spellEnd"/>
            <w:r w:rsidRPr="00390EA4">
              <w:t xml:space="preserve"> à </w:t>
            </w:r>
            <w:proofErr w:type="spellStart"/>
            <w:r w:rsidRPr="00390EA4">
              <w:t>l’endroit</w:t>
            </w:r>
            <w:proofErr w:type="spellEnd"/>
            <w:r w:rsidRPr="00390EA4">
              <w:t xml:space="preserve"> de la population </w:t>
            </w:r>
            <w:proofErr w:type="spellStart"/>
            <w:r w:rsidRPr="00390EA4">
              <w:t>en</w:t>
            </w:r>
            <w:proofErr w:type="spellEnd"/>
            <w:r w:rsidRPr="00390EA4">
              <w:t xml:space="preserve"> matière de TB/VIH.</w:t>
            </w:r>
          </w:p>
          <w:p w14:paraId="6FBC1C6A" w14:textId="77777777" w:rsidR="009744A9" w:rsidRPr="00390EA4" w:rsidRDefault="009744A9" w:rsidP="00390EA4">
            <w:pPr>
              <w:pStyle w:val="liste1"/>
            </w:pPr>
            <w:proofErr w:type="spellStart"/>
            <w:r w:rsidRPr="00390EA4">
              <w:t>Renforcer</w:t>
            </w:r>
            <w:proofErr w:type="spellEnd"/>
            <w:r w:rsidRPr="00390EA4">
              <w:t xml:space="preserve"> le cadre de coordination avec le PNLT-PNLS pour </w:t>
            </w:r>
            <w:proofErr w:type="spellStart"/>
            <w:r w:rsidRPr="00390EA4">
              <w:t>appuyer</w:t>
            </w:r>
            <w:proofErr w:type="spellEnd"/>
            <w:r w:rsidRPr="00390EA4">
              <w:t xml:space="preserve"> les initiatives de communication</w:t>
            </w:r>
          </w:p>
          <w:p w14:paraId="1E9B130F" w14:textId="77777777" w:rsidR="009744A9" w:rsidRPr="00390EA4" w:rsidRDefault="009744A9" w:rsidP="00390EA4">
            <w:pPr>
              <w:pStyle w:val="liste1"/>
            </w:pPr>
            <w:r w:rsidRPr="00390EA4">
              <w:t xml:space="preserve">Le pays met </w:t>
            </w:r>
            <w:proofErr w:type="spellStart"/>
            <w:r w:rsidRPr="00390EA4">
              <w:t>actuellement</w:t>
            </w:r>
            <w:proofErr w:type="spellEnd"/>
            <w:r w:rsidRPr="00390EA4">
              <w:t xml:space="preserve"> </w:t>
            </w:r>
            <w:proofErr w:type="spellStart"/>
            <w:r w:rsidRPr="00390EA4">
              <w:t>en</w:t>
            </w:r>
            <w:proofErr w:type="spellEnd"/>
            <w:r w:rsidRPr="00390EA4">
              <w:t xml:space="preserve"> </w:t>
            </w:r>
            <w:proofErr w:type="spellStart"/>
            <w:r w:rsidRPr="00390EA4">
              <w:t>œuvre</w:t>
            </w:r>
            <w:proofErr w:type="spellEnd"/>
            <w:r w:rsidRPr="00390EA4">
              <w:t xml:space="preserve"> les </w:t>
            </w:r>
            <w:proofErr w:type="spellStart"/>
            <w:r w:rsidRPr="00390EA4">
              <w:t>mesures</w:t>
            </w:r>
            <w:proofErr w:type="spellEnd"/>
            <w:r w:rsidRPr="00390EA4">
              <w:t xml:space="preserve"> </w:t>
            </w:r>
            <w:proofErr w:type="spellStart"/>
            <w:r w:rsidRPr="00390EA4">
              <w:t>nécessaires</w:t>
            </w:r>
            <w:proofErr w:type="spellEnd"/>
            <w:r w:rsidRPr="00390EA4">
              <w:t xml:space="preserve"> pour </w:t>
            </w:r>
            <w:proofErr w:type="spellStart"/>
            <w:r w:rsidRPr="00390EA4">
              <w:t>rapprocher</w:t>
            </w:r>
            <w:proofErr w:type="spellEnd"/>
            <w:r w:rsidRPr="00390EA4">
              <w:t xml:space="preserve"> </w:t>
            </w:r>
            <w:proofErr w:type="spellStart"/>
            <w:r w:rsidRPr="00390EA4">
              <w:t>l’offre</w:t>
            </w:r>
            <w:proofErr w:type="spellEnd"/>
            <w:r w:rsidRPr="00390EA4">
              <w:t xml:space="preserve"> de </w:t>
            </w:r>
            <w:proofErr w:type="spellStart"/>
            <w:r w:rsidRPr="00390EA4">
              <w:t>soins</w:t>
            </w:r>
            <w:proofErr w:type="spellEnd"/>
            <w:r w:rsidRPr="00390EA4">
              <w:t xml:space="preserve"> et de </w:t>
            </w:r>
            <w:proofErr w:type="spellStart"/>
            <w:r w:rsidRPr="00390EA4">
              <w:t>traitement</w:t>
            </w:r>
            <w:proofErr w:type="spellEnd"/>
            <w:r w:rsidRPr="00390EA4">
              <w:t xml:space="preserve"> des populations à travers la </w:t>
            </w:r>
            <w:proofErr w:type="spellStart"/>
            <w:r w:rsidRPr="00390EA4">
              <w:t>décentralisation</w:t>
            </w:r>
            <w:proofErr w:type="spellEnd"/>
            <w:r w:rsidRPr="00390EA4">
              <w:t xml:space="preserve"> et actions </w:t>
            </w:r>
            <w:proofErr w:type="spellStart"/>
            <w:r w:rsidRPr="00390EA4">
              <w:t>spécifiques</w:t>
            </w:r>
            <w:proofErr w:type="spellEnd"/>
            <w:r w:rsidRPr="00390EA4">
              <w:t xml:space="preserve"> à </w:t>
            </w:r>
            <w:proofErr w:type="spellStart"/>
            <w:r w:rsidRPr="00390EA4">
              <w:t>l’attention</w:t>
            </w:r>
            <w:proofErr w:type="spellEnd"/>
            <w:r w:rsidRPr="00390EA4">
              <w:t xml:space="preserve"> des populations </w:t>
            </w:r>
            <w:proofErr w:type="spellStart"/>
            <w:r w:rsidRPr="00390EA4">
              <w:t>démunies</w:t>
            </w:r>
            <w:proofErr w:type="spellEnd"/>
            <w:r w:rsidRPr="00390EA4">
              <w:t>.</w:t>
            </w:r>
          </w:p>
          <w:p w14:paraId="2439060E" w14:textId="77777777" w:rsidR="000272A7" w:rsidRPr="00750CA9" w:rsidRDefault="000272A7" w:rsidP="00E80CEF">
            <w:pPr>
              <w:spacing w:after="0"/>
              <w:rPr>
                <w:lang w:val="fr-FR"/>
              </w:rPr>
            </w:pPr>
          </w:p>
        </w:tc>
      </w:tr>
      <w:tr w:rsidR="000272A7" w:rsidRPr="00F00BB3" w14:paraId="40896AFE" w14:textId="77777777" w:rsidTr="007A0F0B">
        <w:trPr>
          <w:trHeight w:val="288"/>
        </w:trPr>
        <w:tc>
          <w:tcPr>
            <w:tcW w:w="1560" w:type="dxa"/>
            <w:shd w:val="clear" w:color="auto" w:fill="F2F2F2"/>
            <w:vAlign w:val="center"/>
          </w:tcPr>
          <w:p w14:paraId="2859DCD4" w14:textId="77777777" w:rsidR="000272A7" w:rsidRPr="007F7A64" w:rsidRDefault="000272A7" w:rsidP="00E80CEF">
            <w:pPr>
              <w:spacing w:after="0"/>
              <w:rPr>
                <w:b/>
              </w:rPr>
            </w:pPr>
            <w:r>
              <w:rPr>
                <w:b/>
                <w:lang w:bidi="fr-FR"/>
              </w:rPr>
              <w:lastRenderedPageBreak/>
              <w:t>Justification</w:t>
            </w:r>
            <w:r>
              <w:rPr>
                <w:b/>
                <w:lang w:bidi="fr-FR"/>
              </w:rPr>
              <w:tab/>
            </w:r>
          </w:p>
        </w:tc>
        <w:tc>
          <w:tcPr>
            <w:tcW w:w="9240" w:type="dxa"/>
          </w:tcPr>
          <w:p w14:paraId="2CE9EE72" w14:textId="2383088D" w:rsidR="000272A7" w:rsidRPr="00390EA4" w:rsidRDefault="000272A7" w:rsidP="00FC6510">
            <w:pPr>
              <w:spacing w:after="0"/>
              <w:rPr>
                <w:sz w:val="22"/>
                <w:szCs w:val="22"/>
              </w:rPr>
            </w:pPr>
            <w:r w:rsidRPr="00390EA4">
              <w:rPr>
                <w:sz w:val="22"/>
                <w:szCs w:val="22"/>
              </w:rPr>
              <w:t xml:space="preserve">La </w:t>
            </w:r>
            <w:proofErr w:type="spellStart"/>
            <w:r w:rsidRPr="00390EA4">
              <w:rPr>
                <w:sz w:val="22"/>
                <w:szCs w:val="22"/>
              </w:rPr>
              <w:t>tuberculeuse</w:t>
            </w:r>
            <w:proofErr w:type="spellEnd"/>
            <w:r w:rsidRPr="00390EA4">
              <w:rPr>
                <w:sz w:val="22"/>
                <w:szCs w:val="22"/>
              </w:rPr>
              <w:t xml:space="preserve"> </w:t>
            </w:r>
            <w:proofErr w:type="spellStart"/>
            <w:r w:rsidRPr="00390EA4">
              <w:rPr>
                <w:sz w:val="22"/>
                <w:szCs w:val="22"/>
              </w:rPr>
              <w:t>demeure</w:t>
            </w:r>
            <w:proofErr w:type="spellEnd"/>
            <w:r w:rsidRPr="00390EA4">
              <w:rPr>
                <w:sz w:val="22"/>
                <w:szCs w:val="22"/>
              </w:rPr>
              <w:t xml:space="preserve"> la cause majeure de </w:t>
            </w:r>
            <w:proofErr w:type="spellStart"/>
            <w:r w:rsidRPr="00390EA4">
              <w:rPr>
                <w:sz w:val="22"/>
                <w:szCs w:val="22"/>
              </w:rPr>
              <w:t>s</w:t>
            </w:r>
            <w:r w:rsidR="00481AE1" w:rsidRPr="00390EA4">
              <w:rPr>
                <w:sz w:val="22"/>
                <w:szCs w:val="22"/>
              </w:rPr>
              <w:t>u</w:t>
            </w:r>
            <w:r w:rsidRPr="00390EA4">
              <w:rPr>
                <w:sz w:val="22"/>
                <w:szCs w:val="22"/>
              </w:rPr>
              <w:t>rvenue</w:t>
            </w:r>
            <w:proofErr w:type="spellEnd"/>
            <w:r w:rsidRPr="00390EA4">
              <w:rPr>
                <w:sz w:val="22"/>
                <w:szCs w:val="22"/>
              </w:rPr>
              <w:t xml:space="preserve"> de </w:t>
            </w:r>
            <w:proofErr w:type="spellStart"/>
            <w:r w:rsidRPr="00390EA4">
              <w:rPr>
                <w:sz w:val="22"/>
                <w:szCs w:val="22"/>
              </w:rPr>
              <w:t>décès</w:t>
            </w:r>
            <w:proofErr w:type="spellEnd"/>
            <w:r w:rsidRPr="00390EA4">
              <w:rPr>
                <w:sz w:val="22"/>
                <w:szCs w:val="22"/>
              </w:rPr>
              <w:t xml:space="preserve"> chez les PVVIH</w:t>
            </w:r>
          </w:p>
          <w:p w14:paraId="1A7974FA" w14:textId="39CF6816" w:rsidR="000272A7" w:rsidRPr="00390EA4" w:rsidRDefault="000272A7" w:rsidP="00A64686">
            <w:pPr>
              <w:spacing w:after="0"/>
              <w:rPr>
                <w:sz w:val="22"/>
                <w:szCs w:val="22"/>
              </w:rPr>
            </w:pPr>
            <w:r w:rsidRPr="00390EA4">
              <w:rPr>
                <w:sz w:val="22"/>
                <w:szCs w:val="22"/>
              </w:rPr>
              <w:t xml:space="preserve">Les </w:t>
            </w:r>
            <w:proofErr w:type="spellStart"/>
            <w:r w:rsidRPr="00390EA4">
              <w:rPr>
                <w:sz w:val="22"/>
                <w:szCs w:val="22"/>
              </w:rPr>
              <w:t>recommandations</w:t>
            </w:r>
            <w:proofErr w:type="spellEnd"/>
            <w:r w:rsidRPr="00390EA4">
              <w:rPr>
                <w:sz w:val="22"/>
                <w:szCs w:val="22"/>
              </w:rPr>
              <w:t xml:space="preserve"> </w:t>
            </w:r>
            <w:proofErr w:type="spellStart"/>
            <w:r w:rsidRPr="00390EA4">
              <w:rPr>
                <w:sz w:val="22"/>
                <w:szCs w:val="22"/>
              </w:rPr>
              <w:t>international</w:t>
            </w:r>
            <w:r w:rsidR="00481AE1" w:rsidRPr="00390EA4">
              <w:rPr>
                <w:sz w:val="22"/>
                <w:szCs w:val="22"/>
              </w:rPr>
              <w:t>es</w:t>
            </w:r>
            <w:proofErr w:type="spellEnd"/>
            <w:r w:rsidRPr="00390EA4">
              <w:rPr>
                <w:sz w:val="22"/>
                <w:szCs w:val="22"/>
              </w:rPr>
              <w:t xml:space="preserve"> </w:t>
            </w:r>
            <w:proofErr w:type="spellStart"/>
            <w:r w:rsidRPr="00390EA4">
              <w:rPr>
                <w:sz w:val="22"/>
                <w:szCs w:val="22"/>
              </w:rPr>
              <w:t>vont</w:t>
            </w:r>
            <w:proofErr w:type="spellEnd"/>
            <w:r w:rsidRPr="00390EA4">
              <w:rPr>
                <w:sz w:val="22"/>
                <w:szCs w:val="22"/>
              </w:rPr>
              <w:t xml:space="preserve"> dans le </w:t>
            </w:r>
            <w:proofErr w:type="spellStart"/>
            <w:r w:rsidRPr="00390EA4">
              <w:rPr>
                <w:sz w:val="22"/>
                <w:szCs w:val="22"/>
              </w:rPr>
              <w:t>sens</w:t>
            </w:r>
            <w:proofErr w:type="spellEnd"/>
            <w:r w:rsidRPr="00390EA4">
              <w:rPr>
                <w:sz w:val="22"/>
                <w:szCs w:val="22"/>
              </w:rPr>
              <w:t xml:space="preserve"> du </w:t>
            </w:r>
            <w:proofErr w:type="spellStart"/>
            <w:r w:rsidRPr="00390EA4">
              <w:rPr>
                <w:sz w:val="22"/>
                <w:szCs w:val="22"/>
              </w:rPr>
              <w:t>renforcmement</w:t>
            </w:r>
            <w:proofErr w:type="spellEnd"/>
            <w:r w:rsidRPr="00390EA4">
              <w:rPr>
                <w:sz w:val="22"/>
                <w:szCs w:val="22"/>
              </w:rPr>
              <w:t xml:space="preserve"> de la </w:t>
            </w:r>
            <w:proofErr w:type="spellStart"/>
            <w:r w:rsidRPr="00390EA4">
              <w:rPr>
                <w:sz w:val="22"/>
                <w:szCs w:val="22"/>
              </w:rPr>
              <w:t>lut</w:t>
            </w:r>
            <w:r w:rsidR="00481AE1" w:rsidRPr="00390EA4">
              <w:rPr>
                <w:sz w:val="22"/>
                <w:szCs w:val="22"/>
              </w:rPr>
              <w:t>t</w:t>
            </w:r>
            <w:r w:rsidRPr="00390EA4">
              <w:rPr>
                <w:sz w:val="22"/>
                <w:szCs w:val="22"/>
              </w:rPr>
              <w:t>e</w:t>
            </w:r>
            <w:proofErr w:type="spellEnd"/>
            <w:r w:rsidRPr="00390EA4">
              <w:rPr>
                <w:sz w:val="22"/>
                <w:szCs w:val="22"/>
              </w:rPr>
              <w:t xml:space="preserve"> </w:t>
            </w:r>
            <w:proofErr w:type="spellStart"/>
            <w:r w:rsidRPr="00390EA4">
              <w:rPr>
                <w:sz w:val="22"/>
                <w:szCs w:val="22"/>
              </w:rPr>
              <w:t>conjoint</w:t>
            </w:r>
            <w:r w:rsidR="00481AE1" w:rsidRPr="00390EA4">
              <w:rPr>
                <w:sz w:val="22"/>
                <w:szCs w:val="22"/>
              </w:rPr>
              <w:t>e</w:t>
            </w:r>
            <w:proofErr w:type="spellEnd"/>
            <w:r w:rsidRPr="00390EA4">
              <w:rPr>
                <w:sz w:val="22"/>
                <w:szCs w:val="22"/>
              </w:rPr>
              <w:t xml:space="preserve"> </w:t>
            </w:r>
            <w:proofErr w:type="spellStart"/>
            <w:r w:rsidRPr="00390EA4">
              <w:rPr>
                <w:sz w:val="22"/>
                <w:szCs w:val="22"/>
              </w:rPr>
              <w:t>notamment</w:t>
            </w:r>
            <w:proofErr w:type="spellEnd"/>
            <w:r w:rsidRPr="00390EA4">
              <w:rPr>
                <w:sz w:val="22"/>
                <w:szCs w:val="22"/>
              </w:rPr>
              <w:t xml:space="preserve"> </w:t>
            </w:r>
            <w:proofErr w:type="spellStart"/>
            <w:r w:rsidRPr="00390EA4">
              <w:rPr>
                <w:sz w:val="22"/>
                <w:szCs w:val="22"/>
              </w:rPr>
              <w:t>l’intégration</w:t>
            </w:r>
            <w:proofErr w:type="spellEnd"/>
            <w:r w:rsidRPr="00390EA4">
              <w:rPr>
                <w:sz w:val="22"/>
                <w:szCs w:val="22"/>
              </w:rPr>
              <w:t xml:space="preserve"> de la </w:t>
            </w:r>
            <w:proofErr w:type="spellStart"/>
            <w:r w:rsidRPr="00390EA4">
              <w:rPr>
                <w:sz w:val="22"/>
                <w:szCs w:val="22"/>
              </w:rPr>
              <w:t>stratégie</w:t>
            </w:r>
            <w:proofErr w:type="spellEnd"/>
            <w:r w:rsidRPr="00390EA4">
              <w:rPr>
                <w:sz w:val="22"/>
                <w:szCs w:val="22"/>
              </w:rPr>
              <w:t xml:space="preserve"> end TB dans les tester et </w:t>
            </w:r>
            <w:proofErr w:type="spellStart"/>
            <w:r w:rsidRPr="00390EA4">
              <w:rPr>
                <w:sz w:val="22"/>
                <w:szCs w:val="22"/>
              </w:rPr>
              <w:t>traiter</w:t>
            </w:r>
            <w:proofErr w:type="spellEnd"/>
            <w:r w:rsidRPr="00390EA4">
              <w:rPr>
                <w:sz w:val="22"/>
                <w:szCs w:val="22"/>
              </w:rPr>
              <w:t xml:space="preserve"> </w:t>
            </w:r>
            <w:proofErr w:type="spellStart"/>
            <w:r w:rsidR="00481AE1" w:rsidRPr="00390EA4">
              <w:rPr>
                <w:sz w:val="22"/>
                <w:szCs w:val="22"/>
              </w:rPr>
              <w:t>t</w:t>
            </w:r>
            <w:r w:rsidRPr="00390EA4">
              <w:rPr>
                <w:sz w:val="22"/>
                <w:szCs w:val="22"/>
              </w:rPr>
              <w:t>ous</w:t>
            </w:r>
            <w:proofErr w:type="spellEnd"/>
            <w:r w:rsidRPr="00390EA4">
              <w:rPr>
                <w:sz w:val="22"/>
                <w:szCs w:val="22"/>
              </w:rPr>
              <w:t>.</w:t>
            </w:r>
          </w:p>
        </w:tc>
      </w:tr>
      <w:tr w:rsidR="000272A7" w:rsidRPr="0037522B" w14:paraId="65D720BE" w14:textId="77777777" w:rsidTr="007A0F0B">
        <w:trPr>
          <w:trHeight w:val="288"/>
        </w:trPr>
        <w:tc>
          <w:tcPr>
            <w:tcW w:w="1560" w:type="dxa"/>
            <w:shd w:val="clear" w:color="auto" w:fill="F2F2F2"/>
            <w:vAlign w:val="center"/>
          </w:tcPr>
          <w:p w14:paraId="72DA79BF" w14:textId="77777777" w:rsidR="000272A7" w:rsidRPr="007F7A64" w:rsidRDefault="000272A7" w:rsidP="00E80CEF">
            <w:pPr>
              <w:spacing w:after="0"/>
              <w:rPr>
                <w:b/>
              </w:rPr>
            </w:pPr>
            <w:proofErr w:type="spellStart"/>
            <w:r w:rsidRPr="007F7A64">
              <w:rPr>
                <w:b/>
                <w:lang w:bidi="fr-FR"/>
              </w:rPr>
              <w:t>Résultats</w:t>
            </w:r>
            <w:proofErr w:type="spellEnd"/>
            <w:r w:rsidRPr="007F7A64">
              <w:rPr>
                <w:b/>
                <w:lang w:bidi="fr-FR"/>
              </w:rPr>
              <w:t xml:space="preserve"> </w:t>
            </w:r>
            <w:proofErr w:type="spellStart"/>
            <w:r w:rsidRPr="007F7A64">
              <w:rPr>
                <w:b/>
                <w:lang w:bidi="fr-FR"/>
              </w:rPr>
              <w:t>attendus</w:t>
            </w:r>
            <w:proofErr w:type="spellEnd"/>
          </w:p>
        </w:tc>
        <w:tc>
          <w:tcPr>
            <w:tcW w:w="9240" w:type="dxa"/>
          </w:tcPr>
          <w:p w14:paraId="7699EEE1" w14:textId="103417E1" w:rsidR="000272A7" w:rsidRPr="00390EA4" w:rsidRDefault="000272A7" w:rsidP="000272A7">
            <w:pPr>
              <w:rPr>
                <w:sz w:val="22"/>
                <w:szCs w:val="22"/>
              </w:rPr>
            </w:pPr>
            <w:proofErr w:type="spellStart"/>
            <w:r w:rsidRPr="00390EA4">
              <w:rPr>
                <w:sz w:val="22"/>
                <w:szCs w:val="22"/>
              </w:rPr>
              <w:t>R</w:t>
            </w:r>
            <w:r w:rsidR="00A86E67">
              <w:rPr>
                <w:sz w:val="22"/>
                <w:szCs w:val="22"/>
              </w:rPr>
              <w:t>é</w:t>
            </w:r>
            <w:r w:rsidRPr="00390EA4">
              <w:rPr>
                <w:sz w:val="22"/>
                <w:szCs w:val="22"/>
              </w:rPr>
              <w:t>duction</w:t>
            </w:r>
            <w:proofErr w:type="spellEnd"/>
            <w:r w:rsidRPr="00390EA4">
              <w:rPr>
                <w:sz w:val="22"/>
                <w:szCs w:val="22"/>
              </w:rPr>
              <w:t xml:space="preserve"> de la </w:t>
            </w:r>
            <w:proofErr w:type="spellStart"/>
            <w:r w:rsidRPr="00390EA4">
              <w:rPr>
                <w:sz w:val="22"/>
                <w:szCs w:val="22"/>
              </w:rPr>
              <w:t>morbidité</w:t>
            </w:r>
            <w:proofErr w:type="spellEnd"/>
            <w:r w:rsidRPr="00390EA4">
              <w:rPr>
                <w:sz w:val="22"/>
                <w:szCs w:val="22"/>
              </w:rPr>
              <w:t xml:space="preserve"> et de la </w:t>
            </w:r>
            <w:proofErr w:type="spellStart"/>
            <w:r w:rsidRPr="00390EA4">
              <w:rPr>
                <w:sz w:val="22"/>
                <w:szCs w:val="22"/>
              </w:rPr>
              <w:t>mortalité</w:t>
            </w:r>
            <w:proofErr w:type="spellEnd"/>
            <w:r w:rsidRPr="00390EA4">
              <w:rPr>
                <w:sz w:val="22"/>
                <w:szCs w:val="22"/>
              </w:rPr>
              <w:t xml:space="preserve"> </w:t>
            </w:r>
            <w:proofErr w:type="spellStart"/>
            <w:r w:rsidRPr="00390EA4">
              <w:rPr>
                <w:sz w:val="22"/>
                <w:szCs w:val="22"/>
              </w:rPr>
              <w:t>lié</w:t>
            </w:r>
            <w:r w:rsidR="00481AE1" w:rsidRPr="00390EA4">
              <w:rPr>
                <w:sz w:val="22"/>
                <w:szCs w:val="22"/>
              </w:rPr>
              <w:t>é</w:t>
            </w:r>
            <w:proofErr w:type="spellEnd"/>
            <w:r w:rsidRPr="00390EA4">
              <w:rPr>
                <w:sz w:val="22"/>
                <w:szCs w:val="22"/>
              </w:rPr>
              <w:t xml:space="preserve"> au VIH par la reduction de la ch</w:t>
            </w:r>
            <w:r w:rsidR="00481AE1" w:rsidRPr="00390EA4">
              <w:rPr>
                <w:sz w:val="22"/>
                <w:szCs w:val="22"/>
              </w:rPr>
              <w:t>a</w:t>
            </w:r>
            <w:r w:rsidRPr="00390EA4">
              <w:rPr>
                <w:sz w:val="22"/>
                <w:szCs w:val="22"/>
              </w:rPr>
              <w:t xml:space="preserve">rge </w:t>
            </w:r>
            <w:r w:rsidR="00481AE1" w:rsidRPr="00390EA4">
              <w:rPr>
                <w:sz w:val="22"/>
                <w:szCs w:val="22"/>
              </w:rPr>
              <w:t>de la</w:t>
            </w:r>
            <w:r w:rsidRPr="00390EA4">
              <w:rPr>
                <w:sz w:val="22"/>
                <w:szCs w:val="22"/>
              </w:rPr>
              <w:t xml:space="preserve"> TB chez les </w:t>
            </w:r>
            <w:r w:rsidR="00481AE1" w:rsidRPr="00390EA4">
              <w:rPr>
                <w:sz w:val="22"/>
                <w:szCs w:val="22"/>
              </w:rPr>
              <w:t>P</w:t>
            </w:r>
            <w:r w:rsidRPr="00390EA4">
              <w:rPr>
                <w:sz w:val="22"/>
                <w:szCs w:val="22"/>
              </w:rPr>
              <w:t>VVIH</w:t>
            </w:r>
            <w:r w:rsidR="00A86E67">
              <w:rPr>
                <w:sz w:val="22"/>
                <w:szCs w:val="22"/>
              </w:rPr>
              <w:t>:</w:t>
            </w:r>
          </w:p>
          <w:p w14:paraId="3C1C93F5" w14:textId="3FDDE8CE" w:rsidR="009744A9" w:rsidRPr="00390EA4" w:rsidRDefault="009744A9" w:rsidP="00390EA4">
            <w:pPr>
              <w:pStyle w:val="liste1"/>
            </w:pPr>
            <w:r w:rsidRPr="00390EA4">
              <w:t xml:space="preserve">Le </w:t>
            </w:r>
            <w:proofErr w:type="spellStart"/>
            <w:r w:rsidRPr="00390EA4">
              <w:t>taux</w:t>
            </w:r>
            <w:proofErr w:type="spellEnd"/>
            <w:r w:rsidRPr="00390EA4">
              <w:t xml:space="preserve"> de </w:t>
            </w:r>
            <w:proofErr w:type="spellStart"/>
            <w:r w:rsidRPr="00390EA4">
              <w:t>décès</w:t>
            </w:r>
            <w:proofErr w:type="spellEnd"/>
            <w:r w:rsidRPr="00390EA4">
              <w:t xml:space="preserve"> chez les co-</w:t>
            </w:r>
            <w:proofErr w:type="spellStart"/>
            <w:r w:rsidRPr="00390EA4">
              <w:t>infectés</w:t>
            </w:r>
            <w:proofErr w:type="spellEnd"/>
            <w:r w:rsidRPr="00390EA4">
              <w:t xml:space="preserve"> TB/VIH </w:t>
            </w:r>
            <w:proofErr w:type="spellStart"/>
            <w:r w:rsidRPr="00390EA4">
              <w:t>est</w:t>
            </w:r>
            <w:proofErr w:type="spellEnd"/>
            <w:r w:rsidRPr="00390EA4">
              <w:t xml:space="preserve"> </w:t>
            </w:r>
            <w:proofErr w:type="spellStart"/>
            <w:r w:rsidRPr="00390EA4">
              <w:t>réduit</w:t>
            </w:r>
            <w:proofErr w:type="spellEnd"/>
            <w:r w:rsidRPr="00390EA4">
              <w:t> </w:t>
            </w:r>
            <w:r w:rsidR="00785E61">
              <w:t xml:space="preserve">de 10 à </w:t>
            </w:r>
            <w:r w:rsidR="00785E61" w:rsidRPr="00785E61">
              <w:t xml:space="preserve">7 </w:t>
            </w:r>
            <w:proofErr w:type="spellStart"/>
            <w:r w:rsidR="00785E61" w:rsidRPr="00785E61">
              <w:t>décès</w:t>
            </w:r>
            <w:proofErr w:type="spellEnd"/>
            <w:r w:rsidR="00785E61" w:rsidRPr="00785E61">
              <w:t xml:space="preserve"> pour 100 000 habitants </w:t>
            </w:r>
            <w:proofErr w:type="spellStart"/>
            <w:r w:rsidR="00785E61" w:rsidRPr="00785E61">
              <w:t>en</w:t>
            </w:r>
            <w:proofErr w:type="spellEnd"/>
            <w:r w:rsidR="00785E61" w:rsidRPr="00785E61">
              <w:t xml:space="preserve"> 2023</w:t>
            </w:r>
          </w:p>
          <w:p w14:paraId="2F64E6B0" w14:textId="15169911" w:rsidR="009744A9" w:rsidRPr="00390EA4" w:rsidRDefault="008567CC" w:rsidP="00390EA4">
            <w:pPr>
              <w:pStyle w:val="liste1"/>
            </w:pPr>
            <w:proofErr w:type="spellStart"/>
            <w:r>
              <w:t>En</w:t>
            </w:r>
            <w:proofErr w:type="spellEnd"/>
            <w:r>
              <w:t xml:space="preserve"> 2023, l</w:t>
            </w:r>
            <w:r w:rsidR="009744A9" w:rsidRPr="00390EA4">
              <w:t xml:space="preserve">a recherche active de la </w:t>
            </w:r>
            <w:r w:rsidR="00A86E67">
              <w:t>TB</w:t>
            </w:r>
            <w:r w:rsidR="00A86E67" w:rsidRPr="00390EA4">
              <w:t xml:space="preserve"> </w:t>
            </w:r>
            <w:proofErr w:type="spellStart"/>
            <w:r w:rsidR="009744A9" w:rsidRPr="00390EA4">
              <w:t>est</w:t>
            </w:r>
            <w:proofErr w:type="spellEnd"/>
            <w:r w:rsidR="009744A9" w:rsidRPr="00390EA4">
              <w:t xml:space="preserve"> </w:t>
            </w:r>
            <w:proofErr w:type="spellStart"/>
            <w:r w:rsidR="009744A9" w:rsidRPr="00390EA4">
              <w:t>réalisée</w:t>
            </w:r>
            <w:proofErr w:type="spellEnd"/>
            <w:r w:rsidR="009744A9" w:rsidRPr="00390EA4">
              <w:t xml:space="preserve"> chez </w:t>
            </w:r>
            <w:r w:rsidR="00A40E72">
              <w:t>9</w:t>
            </w:r>
            <w:r>
              <w:t>6</w:t>
            </w:r>
            <w:r w:rsidR="00A40E72">
              <w:t>% d</w:t>
            </w:r>
            <w:r w:rsidR="00A86E67" w:rsidRPr="00390EA4">
              <w:t>es PVVIH</w:t>
            </w:r>
            <w:r>
              <w:t xml:space="preserve"> </w:t>
            </w:r>
            <w:proofErr w:type="spellStart"/>
            <w:r>
              <w:t>inclus</w:t>
            </w:r>
            <w:proofErr w:type="spellEnd"/>
            <w:r>
              <w:t xml:space="preserve"> dans les </w:t>
            </w:r>
            <w:proofErr w:type="spellStart"/>
            <w:r>
              <w:t>soins</w:t>
            </w:r>
            <w:proofErr w:type="spellEnd"/>
            <w:r w:rsidR="00785E61">
              <w:t xml:space="preserve"> </w:t>
            </w:r>
          </w:p>
          <w:p w14:paraId="6854F742" w14:textId="77777777" w:rsidR="00785E61" w:rsidRPr="00390EA4" w:rsidRDefault="00785E61" w:rsidP="00785E61">
            <w:pPr>
              <w:pStyle w:val="liste1"/>
            </w:pPr>
            <w:proofErr w:type="spellStart"/>
            <w:r w:rsidRPr="00390EA4">
              <w:t>Tous</w:t>
            </w:r>
            <w:proofErr w:type="spellEnd"/>
            <w:r w:rsidRPr="00390EA4">
              <w:t xml:space="preserve"> les </w:t>
            </w:r>
            <w:proofErr w:type="spellStart"/>
            <w:r w:rsidRPr="00390EA4">
              <w:t>tuberculeux</w:t>
            </w:r>
            <w:proofErr w:type="spellEnd"/>
            <w:r w:rsidRPr="00390EA4">
              <w:t xml:space="preserve"> </w:t>
            </w:r>
            <w:proofErr w:type="spellStart"/>
            <w:r w:rsidRPr="00390EA4">
              <w:t>connaissent</w:t>
            </w:r>
            <w:proofErr w:type="spellEnd"/>
            <w:r w:rsidRPr="00390EA4">
              <w:t xml:space="preserve"> </w:t>
            </w:r>
            <w:proofErr w:type="spellStart"/>
            <w:r w:rsidRPr="00390EA4">
              <w:t>leur</w:t>
            </w:r>
            <w:proofErr w:type="spellEnd"/>
            <w:r w:rsidRPr="00390EA4">
              <w:t xml:space="preserve"> </w:t>
            </w:r>
            <w:proofErr w:type="spellStart"/>
            <w:r w:rsidRPr="00390EA4">
              <w:t>statut</w:t>
            </w:r>
            <w:proofErr w:type="spellEnd"/>
            <w:r w:rsidRPr="00390EA4">
              <w:t xml:space="preserve"> VIH et </w:t>
            </w:r>
            <w:proofErr w:type="spellStart"/>
            <w:r w:rsidRPr="00390EA4">
              <w:t>sont</w:t>
            </w:r>
            <w:proofErr w:type="spellEnd"/>
            <w:r w:rsidRPr="00390EA4">
              <w:t xml:space="preserve"> </w:t>
            </w:r>
            <w:proofErr w:type="spellStart"/>
            <w:r w:rsidRPr="00390EA4">
              <w:t>pris</w:t>
            </w:r>
            <w:proofErr w:type="spellEnd"/>
            <w:r w:rsidRPr="00390EA4">
              <w:t xml:space="preserve"> </w:t>
            </w:r>
            <w:proofErr w:type="spellStart"/>
            <w:r w:rsidRPr="00390EA4">
              <w:t>en</w:t>
            </w:r>
            <w:proofErr w:type="spellEnd"/>
            <w:r w:rsidRPr="00390EA4">
              <w:t xml:space="preserve"> charge</w:t>
            </w:r>
          </w:p>
          <w:p w14:paraId="427D8EAB" w14:textId="452926C1" w:rsidR="000272A7" w:rsidRPr="00390EA4" w:rsidRDefault="008567CC" w:rsidP="00750CA9">
            <w:pPr>
              <w:pStyle w:val="liste1"/>
            </w:pPr>
            <w:proofErr w:type="spellStart"/>
            <w:r>
              <w:t>En</w:t>
            </w:r>
            <w:proofErr w:type="spellEnd"/>
            <w:r>
              <w:t xml:space="preserve"> 2023, l</w:t>
            </w:r>
            <w:r w:rsidR="009744A9" w:rsidRPr="00390EA4">
              <w:t xml:space="preserve">a </w:t>
            </w:r>
            <w:proofErr w:type="spellStart"/>
            <w:r w:rsidR="009744A9" w:rsidRPr="00390EA4">
              <w:t>prévention</w:t>
            </w:r>
            <w:proofErr w:type="spellEnd"/>
            <w:r w:rsidR="009744A9" w:rsidRPr="00390EA4">
              <w:t xml:space="preserve"> de la </w:t>
            </w:r>
            <w:r w:rsidR="00A86E67">
              <w:t>TB</w:t>
            </w:r>
            <w:r w:rsidR="00A86E67" w:rsidRPr="00390EA4">
              <w:t xml:space="preserve"> </w:t>
            </w:r>
            <w:proofErr w:type="spellStart"/>
            <w:r w:rsidR="009744A9" w:rsidRPr="00390EA4">
              <w:t>est</w:t>
            </w:r>
            <w:proofErr w:type="spellEnd"/>
            <w:r w:rsidR="009744A9" w:rsidRPr="00390EA4">
              <w:t xml:space="preserve"> </w:t>
            </w:r>
            <w:proofErr w:type="spellStart"/>
            <w:r w:rsidR="009744A9" w:rsidRPr="00390EA4">
              <w:t>réalisée</w:t>
            </w:r>
            <w:proofErr w:type="spellEnd"/>
            <w:r w:rsidR="009744A9" w:rsidRPr="00390EA4">
              <w:t xml:space="preserve"> chez </w:t>
            </w:r>
            <w:r>
              <w:t>56% d</w:t>
            </w:r>
            <w:r w:rsidR="009744A9" w:rsidRPr="00390EA4">
              <w:t>e</w:t>
            </w:r>
            <w:r>
              <w:t xml:space="preserve"> </w:t>
            </w:r>
            <w:proofErr w:type="spellStart"/>
            <w:r>
              <w:t>l’ensemble</w:t>
            </w:r>
            <w:proofErr w:type="spellEnd"/>
            <w:r>
              <w:t xml:space="preserve"> des</w:t>
            </w:r>
            <w:r w:rsidR="009744A9" w:rsidRPr="00390EA4">
              <w:t xml:space="preserve"> PVVIH </w:t>
            </w:r>
            <w:proofErr w:type="spellStart"/>
            <w:r w:rsidR="009744A9" w:rsidRPr="00390EA4">
              <w:t>indemne</w:t>
            </w:r>
            <w:r>
              <w:t>s</w:t>
            </w:r>
            <w:proofErr w:type="spellEnd"/>
            <w:r w:rsidR="009744A9" w:rsidRPr="00390EA4">
              <w:t xml:space="preserve"> de </w:t>
            </w:r>
            <w:proofErr w:type="spellStart"/>
            <w:r w:rsidR="009744A9" w:rsidRPr="00390EA4">
              <w:t>tuberculose</w:t>
            </w:r>
            <w:proofErr w:type="spellEnd"/>
            <w:r w:rsidR="009744A9" w:rsidRPr="00390EA4">
              <w:t xml:space="preserve"> active</w:t>
            </w:r>
            <w:r>
              <w:t xml:space="preserve"> et </w:t>
            </w:r>
            <w:proofErr w:type="spellStart"/>
            <w:r>
              <w:t>inclus</w:t>
            </w:r>
            <w:proofErr w:type="spellEnd"/>
            <w:r>
              <w:t xml:space="preserve"> dans les </w:t>
            </w:r>
            <w:proofErr w:type="spellStart"/>
            <w:r>
              <w:t>soins</w:t>
            </w:r>
            <w:proofErr w:type="spellEnd"/>
            <w:r>
              <w:t xml:space="preserve"> </w:t>
            </w:r>
          </w:p>
        </w:tc>
      </w:tr>
      <w:tr w:rsidR="000272A7" w:rsidRPr="007F7A64" w14:paraId="6A60E8D2" w14:textId="77777777" w:rsidTr="007A0F0B">
        <w:trPr>
          <w:trHeight w:val="288"/>
        </w:trPr>
        <w:tc>
          <w:tcPr>
            <w:tcW w:w="1560" w:type="dxa"/>
            <w:shd w:val="clear" w:color="auto" w:fill="F2F2F2"/>
            <w:vAlign w:val="center"/>
          </w:tcPr>
          <w:p w14:paraId="09100513" w14:textId="77777777" w:rsidR="000272A7" w:rsidRPr="00C44844" w:rsidRDefault="000272A7" w:rsidP="00E80CEF">
            <w:pPr>
              <w:spacing w:after="0"/>
              <w:rPr>
                <w:b/>
              </w:rPr>
            </w:pPr>
            <w:proofErr w:type="spellStart"/>
            <w:r w:rsidRPr="007F7A64">
              <w:rPr>
                <w:b/>
                <w:lang w:bidi="fr-FR"/>
              </w:rPr>
              <w:t>Investissement</w:t>
            </w:r>
            <w:proofErr w:type="spellEnd"/>
            <w:r w:rsidRPr="007F7A64">
              <w:rPr>
                <w:b/>
                <w:lang w:bidi="fr-FR"/>
              </w:rPr>
              <w:t xml:space="preserve"> </w:t>
            </w:r>
            <w:proofErr w:type="spellStart"/>
            <w:r w:rsidRPr="007F7A64">
              <w:rPr>
                <w:b/>
                <w:lang w:bidi="fr-FR"/>
              </w:rPr>
              <w:t>attendu</w:t>
            </w:r>
            <w:proofErr w:type="spellEnd"/>
          </w:p>
        </w:tc>
        <w:tc>
          <w:tcPr>
            <w:tcW w:w="9240" w:type="dxa"/>
          </w:tcPr>
          <w:p w14:paraId="469F5A88" w14:textId="0DD24DCE" w:rsidR="000272A7" w:rsidRPr="00DB293F" w:rsidRDefault="00761126" w:rsidP="00DB293F">
            <w:pPr>
              <w:pStyle w:val="Texteformulaire"/>
              <w:rPr>
                <w:b/>
                <w:bCs/>
              </w:rPr>
            </w:pPr>
            <w:r>
              <w:rPr>
                <w:b/>
                <w:bCs/>
                <w:color w:val="FF0000"/>
              </w:rPr>
              <w:t>1 766 889</w:t>
            </w:r>
            <w:r w:rsidR="00DB293F" w:rsidRPr="002D0EC2">
              <w:rPr>
                <w:b/>
                <w:bCs/>
                <w:color w:val="FF0000"/>
              </w:rPr>
              <w:t xml:space="preserve"> euros (</w:t>
            </w:r>
            <w:proofErr w:type="spellStart"/>
            <w:r w:rsidR="00DB293F" w:rsidRPr="002D0EC2">
              <w:rPr>
                <w:b/>
                <w:bCs/>
                <w:color w:val="FF0000"/>
              </w:rPr>
              <w:t>soit</w:t>
            </w:r>
            <w:proofErr w:type="spellEnd"/>
            <w:r w:rsidR="00DB293F" w:rsidRPr="002D0EC2">
              <w:rPr>
                <w:b/>
                <w:bCs/>
                <w:color w:val="FF0000"/>
              </w:rPr>
              <w:t xml:space="preserve"> </w:t>
            </w:r>
            <w:r>
              <w:rPr>
                <w:b/>
                <w:bCs/>
                <w:color w:val="FF0000"/>
              </w:rPr>
              <w:t>2</w:t>
            </w:r>
            <w:r w:rsidR="00DB293F" w:rsidRPr="002D0EC2">
              <w:rPr>
                <w:b/>
                <w:bCs/>
                <w:color w:val="FF0000"/>
              </w:rPr>
              <w:t>%)</w:t>
            </w:r>
          </w:p>
        </w:tc>
      </w:tr>
    </w:tbl>
    <w:p w14:paraId="5FC199DE" w14:textId="77777777" w:rsidR="004E4290" w:rsidRDefault="004E4290" w:rsidP="009B6C0D">
      <w:pPr>
        <w:spacing w:after="0"/>
        <w:rPr>
          <w:i/>
          <w:sz w:val="16"/>
        </w:rPr>
      </w:pPr>
      <w:r w:rsidRPr="00E80CEF">
        <w:rPr>
          <w:i/>
          <w:sz w:val="16"/>
        </w:rPr>
        <w:t xml:space="preserve"> </w:t>
      </w:r>
    </w:p>
    <w:tbl>
      <w:tblPr>
        <w:tblStyle w:val="TableGrid30"/>
        <w:tblW w:w="10800" w:type="dxa"/>
        <w:tblInd w:w="-5" w:type="dxa"/>
        <w:tblLook w:val="04A0" w:firstRow="1" w:lastRow="0" w:firstColumn="1" w:lastColumn="0" w:noHBand="0" w:noVBand="1"/>
      </w:tblPr>
      <w:tblGrid>
        <w:gridCol w:w="1662"/>
        <w:gridCol w:w="9138"/>
      </w:tblGrid>
      <w:tr w:rsidR="004E4290" w:rsidRPr="00390EA4" w14:paraId="68001A48" w14:textId="77777777" w:rsidTr="007A0F0B">
        <w:trPr>
          <w:trHeight w:val="288"/>
        </w:trPr>
        <w:tc>
          <w:tcPr>
            <w:tcW w:w="1560" w:type="dxa"/>
            <w:shd w:val="clear" w:color="auto" w:fill="F2F2F2"/>
            <w:vAlign w:val="center"/>
          </w:tcPr>
          <w:p w14:paraId="2138B55D" w14:textId="77777777" w:rsidR="004E4290" w:rsidRPr="00390EA4" w:rsidRDefault="004E4290" w:rsidP="00E80CEF">
            <w:pPr>
              <w:spacing w:after="0"/>
              <w:rPr>
                <w:b/>
                <w:sz w:val="22"/>
                <w:szCs w:val="22"/>
              </w:rPr>
            </w:pPr>
            <w:proofErr w:type="gramStart"/>
            <w:r w:rsidRPr="00390EA4">
              <w:rPr>
                <w:b/>
                <w:sz w:val="22"/>
                <w:szCs w:val="22"/>
                <w:lang w:bidi="fr-FR"/>
              </w:rPr>
              <w:t>N</w:t>
            </w:r>
            <w:r w:rsidRPr="00390EA4">
              <w:rPr>
                <w:b/>
                <w:sz w:val="22"/>
                <w:szCs w:val="22"/>
                <w:vertAlign w:val="superscript"/>
                <w:lang w:bidi="fr-FR"/>
              </w:rPr>
              <w:t>o</w:t>
            </w:r>
            <w:proofErr w:type="gramEnd"/>
            <w:r w:rsidRPr="00390EA4">
              <w:rPr>
                <w:b/>
                <w:sz w:val="22"/>
                <w:szCs w:val="22"/>
                <w:lang w:bidi="fr-FR"/>
              </w:rPr>
              <w:t xml:space="preserve"> de module</w:t>
            </w:r>
          </w:p>
        </w:tc>
        <w:tc>
          <w:tcPr>
            <w:tcW w:w="9240" w:type="dxa"/>
          </w:tcPr>
          <w:p w14:paraId="179270DA" w14:textId="5E85CE60" w:rsidR="004E4290" w:rsidRPr="00390EA4" w:rsidRDefault="00FC6DD3" w:rsidP="00FC6510">
            <w:pPr>
              <w:spacing w:after="0"/>
              <w:rPr>
                <w:b/>
                <w:sz w:val="22"/>
                <w:szCs w:val="22"/>
              </w:rPr>
            </w:pPr>
            <w:bookmarkStart w:id="20" w:name="_Hlk40769174"/>
            <w:r w:rsidRPr="00750CA9">
              <w:rPr>
                <w:b/>
                <w:sz w:val="22"/>
                <w:lang w:val="fr-FR"/>
              </w:rPr>
              <w:t>Module 6</w:t>
            </w:r>
            <w:r w:rsidR="00214A4D" w:rsidRPr="00750CA9">
              <w:rPr>
                <w:b/>
                <w:sz w:val="22"/>
                <w:lang w:val="fr-FR"/>
              </w:rPr>
              <w:t xml:space="preserve"> </w:t>
            </w:r>
            <w:r w:rsidRPr="00750CA9">
              <w:rPr>
                <w:b/>
                <w:sz w:val="22"/>
                <w:lang w:val="fr-FR"/>
              </w:rPr>
              <w:t>: Réduction des obstacles liés aux droits humains qui entravent l’accès aux services de lutte contre le VIH/la tuberculose</w:t>
            </w:r>
            <w:bookmarkEnd w:id="20"/>
          </w:p>
        </w:tc>
      </w:tr>
      <w:tr w:rsidR="00D2178D" w:rsidRPr="0037522B" w14:paraId="109C7464" w14:textId="77777777" w:rsidTr="007A0F0B">
        <w:trPr>
          <w:trHeight w:val="288"/>
        </w:trPr>
        <w:tc>
          <w:tcPr>
            <w:tcW w:w="1560" w:type="dxa"/>
            <w:shd w:val="clear" w:color="auto" w:fill="F2F2F2"/>
            <w:vAlign w:val="center"/>
          </w:tcPr>
          <w:p w14:paraId="66FD3A1C" w14:textId="77777777" w:rsidR="00D2178D" w:rsidRPr="007F7A64" w:rsidRDefault="00D2178D" w:rsidP="00E80CEF">
            <w:pPr>
              <w:spacing w:after="0"/>
              <w:rPr>
                <w:b/>
              </w:rPr>
            </w:pPr>
            <w:proofErr w:type="spellStart"/>
            <w:r w:rsidRPr="007F7A64">
              <w:rPr>
                <w:b/>
                <w:lang w:bidi="fr-FR"/>
              </w:rPr>
              <w:t>Principales</w:t>
            </w:r>
            <w:proofErr w:type="spellEnd"/>
            <w:r w:rsidRPr="007F7A64">
              <w:rPr>
                <w:b/>
                <w:lang w:bidi="fr-FR"/>
              </w:rPr>
              <w:t xml:space="preserve"> interventions et </w:t>
            </w:r>
            <w:proofErr w:type="spellStart"/>
            <w:r w:rsidRPr="007F7A64">
              <w:rPr>
                <w:b/>
                <w:lang w:bidi="fr-FR"/>
              </w:rPr>
              <w:t>activités</w:t>
            </w:r>
            <w:proofErr w:type="spellEnd"/>
          </w:p>
        </w:tc>
        <w:tc>
          <w:tcPr>
            <w:tcW w:w="9240" w:type="dxa"/>
          </w:tcPr>
          <w:p w14:paraId="43E025C0" w14:textId="2E5205D5" w:rsidR="00DF6816" w:rsidRDefault="005B13C4" w:rsidP="00750CA9">
            <w:pPr>
              <w:pStyle w:val="Texteformulaire"/>
            </w:pPr>
            <w:r w:rsidRPr="00750CA9">
              <w:rPr>
                <w:rFonts w:cs="Arial"/>
                <w:bCs/>
              </w:rPr>
              <w:t>L</w:t>
            </w:r>
            <w:r w:rsidR="00AC5E35" w:rsidRPr="009F1065">
              <w:rPr>
                <w:rFonts w:cs="Arial"/>
                <w:bCs/>
              </w:rPr>
              <w:t xml:space="preserve">es </w:t>
            </w:r>
            <w:proofErr w:type="spellStart"/>
            <w:r w:rsidR="00AC5E35" w:rsidRPr="009F1065">
              <w:rPr>
                <w:rFonts w:cs="Arial"/>
                <w:bCs/>
              </w:rPr>
              <w:t>activités</w:t>
            </w:r>
            <w:proofErr w:type="spellEnd"/>
            <w:r w:rsidR="00AC5E35" w:rsidRPr="009F1065">
              <w:rPr>
                <w:rFonts w:cs="Arial"/>
                <w:bCs/>
              </w:rPr>
              <w:t xml:space="preserve"> de </w:t>
            </w:r>
            <w:proofErr w:type="spellStart"/>
            <w:r w:rsidR="00AC5E35" w:rsidRPr="009F1065">
              <w:rPr>
                <w:rFonts w:cs="Arial"/>
                <w:bCs/>
              </w:rPr>
              <w:t>ré</w:t>
            </w:r>
            <w:r w:rsidRPr="00750CA9">
              <w:rPr>
                <w:rFonts w:cs="Arial"/>
                <w:bCs/>
              </w:rPr>
              <w:t>duction</w:t>
            </w:r>
            <w:proofErr w:type="spellEnd"/>
            <w:r w:rsidRPr="00750CA9">
              <w:rPr>
                <w:rFonts w:cs="Arial"/>
                <w:bCs/>
              </w:rPr>
              <w:t xml:space="preserve"> des</w:t>
            </w:r>
            <w:r>
              <w:rPr>
                <w:rFonts w:cs="Arial"/>
                <w:bCs/>
              </w:rPr>
              <w:t xml:space="preserve"> obstacles</w:t>
            </w:r>
            <w:r w:rsidRPr="00750CA9">
              <w:rPr>
                <w:rFonts w:cs="Arial"/>
                <w:bCs/>
              </w:rPr>
              <w:t xml:space="preserve"> </w:t>
            </w:r>
            <w:proofErr w:type="spellStart"/>
            <w:r w:rsidRPr="00750CA9">
              <w:t>liés</w:t>
            </w:r>
            <w:proofErr w:type="spellEnd"/>
            <w:r w:rsidRPr="00750CA9">
              <w:t xml:space="preserve"> aux droits </w:t>
            </w:r>
            <w:proofErr w:type="spellStart"/>
            <w:r w:rsidRPr="00750CA9">
              <w:t>humains</w:t>
            </w:r>
            <w:proofErr w:type="spellEnd"/>
            <w:r w:rsidRPr="00750CA9">
              <w:t xml:space="preserve"> qui </w:t>
            </w:r>
            <w:proofErr w:type="spellStart"/>
            <w:r w:rsidRPr="00750CA9">
              <w:t>entravent</w:t>
            </w:r>
            <w:proofErr w:type="spellEnd"/>
            <w:r w:rsidRPr="00750CA9">
              <w:t xml:space="preserve"> </w:t>
            </w:r>
            <w:proofErr w:type="spellStart"/>
            <w:r w:rsidRPr="00750CA9">
              <w:t>l’accès</w:t>
            </w:r>
            <w:proofErr w:type="spellEnd"/>
            <w:r w:rsidRPr="00750CA9">
              <w:t xml:space="preserve"> aux </w:t>
            </w:r>
            <w:r w:rsidRPr="009F1065">
              <w:t xml:space="preserve">services de </w:t>
            </w:r>
            <w:proofErr w:type="spellStart"/>
            <w:r w:rsidRPr="009F1065">
              <w:t>lutte</w:t>
            </w:r>
            <w:proofErr w:type="spellEnd"/>
            <w:r w:rsidRPr="009F1065">
              <w:t xml:space="preserve"> </w:t>
            </w:r>
            <w:proofErr w:type="spellStart"/>
            <w:r w:rsidRPr="009F1065">
              <w:t>contre</w:t>
            </w:r>
            <w:proofErr w:type="spellEnd"/>
            <w:r w:rsidRPr="009F1065">
              <w:t xml:space="preserve"> </w:t>
            </w:r>
            <w:r w:rsidRPr="00750CA9">
              <w:t xml:space="preserve">la </w:t>
            </w:r>
            <w:proofErr w:type="spellStart"/>
            <w:r w:rsidRPr="00750CA9">
              <w:t>tuberculose</w:t>
            </w:r>
            <w:proofErr w:type="spellEnd"/>
            <w:r>
              <w:t xml:space="preserve">, font </w:t>
            </w:r>
            <w:proofErr w:type="spellStart"/>
            <w:r>
              <w:t>l’objet</w:t>
            </w:r>
            <w:proofErr w:type="spellEnd"/>
            <w:r>
              <w:t xml:space="preserve"> </w:t>
            </w:r>
            <w:proofErr w:type="spellStart"/>
            <w:r>
              <w:t>d’une</w:t>
            </w:r>
            <w:proofErr w:type="spellEnd"/>
            <w:r>
              <w:t xml:space="preserve"> </w:t>
            </w:r>
            <w:proofErr w:type="spellStart"/>
            <w:r>
              <w:t>requête</w:t>
            </w:r>
            <w:proofErr w:type="spellEnd"/>
            <w:r>
              <w:t xml:space="preserve"> </w:t>
            </w:r>
            <w:proofErr w:type="spellStart"/>
            <w:r>
              <w:t>spécifique</w:t>
            </w:r>
            <w:proofErr w:type="spellEnd"/>
            <w:r>
              <w:t xml:space="preserve"> dans la </w:t>
            </w:r>
            <w:proofErr w:type="spellStart"/>
            <w:r>
              <w:t>demande</w:t>
            </w:r>
            <w:proofErr w:type="spellEnd"/>
            <w:r>
              <w:t xml:space="preserve"> de </w:t>
            </w:r>
            <w:proofErr w:type="spellStart"/>
            <w:r>
              <w:t>financement</w:t>
            </w:r>
            <w:proofErr w:type="spellEnd"/>
            <w:r>
              <w:t xml:space="preserve"> sur la </w:t>
            </w:r>
            <w:proofErr w:type="spellStart"/>
            <w:r>
              <w:t>composante</w:t>
            </w:r>
            <w:proofErr w:type="spellEnd"/>
            <w:r>
              <w:t xml:space="preserve"> </w:t>
            </w:r>
            <w:proofErr w:type="spellStart"/>
            <w:r>
              <w:t>tuberculose</w:t>
            </w:r>
            <w:proofErr w:type="spellEnd"/>
            <w:r w:rsidR="004044B1">
              <w:t>, qui</w:t>
            </w:r>
            <w:r>
              <w:t xml:space="preserve"> ne </w:t>
            </w:r>
            <w:proofErr w:type="spellStart"/>
            <w:r>
              <w:t>sont</w:t>
            </w:r>
            <w:proofErr w:type="spellEnd"/>
            <w:r>
              <w:t xml:space="preserve"> pas </w:t>
            </w:r>
            <w:proofErr w:type="spellStart"/>
            <w:r>
              <w:t>répétées</w:t>
            </w:r>
            <w:proofErr w:type="spellEnd"/>
            <w:r>
              <w:t xml:space="preserve"> dans </w:t>
            </w:r>
            <w:proofErr w:type="spellStart"/>
            <w:r>
              <w:t>ce</w:t>
            </w:r>
            <w:proofErr w:type="spellEnd"/>
            <w:r>
              <w:t xml:space="preserve"> module.</w:t>
            </w:r>
          </w:p>
          <w:p w14:paraId="491938C4" w14:textId="77777777" w:rsidR="005B13C4" w:rsidRPr="00750CA9" w:rsidRDefault="005B13C4" w:rsidP="00750CA9">
            <w:pPr>
              <w:pStyle w:val="Texteformulaire"/>
              <w:rPr>
                <w:rFonts w:cs="Arial"/>
                <w:bCs/>
                <w:i/>
              </w:rPr>
            </w:pPr>
          </w:p>
          <w:p w14:paraId="70433852" w14:textId="6EB57F43" w:rsidR="00D2178D" w:rsidRPr="00C26874" w:rsidRDefault="00D2178D" w:rsidP="006F6940">
            <w:pPr>
              <w:pStyle w:val="NormalJBGS"/>
              <w:numPr>
                <w:ilvl w:val="0"/>
                <w:numId w:val="41"/>
              </w:numPr>
              <w:jc w:val="both"/>
              <w:rPr>
                <w:rFonts w:cs="Arial"/>
                <w:b/>
                <w:bCs/>
                <w:i w:val="0"/>
                <w:color w:val="auto"/>
                <w:sz w:val="22"/>
                <w:szCs w:val="22"/>
                <w:lang w:val="fr-FR"/>
              </w:rPr>
            </w:pPr>
            <w:r w:rsidRPr="00C26874">
              <w:rPr>
                <w:rFonts w:cs="Arial"/>
                <w:b/>
                <w:bCs/>
                <w:i w:val="0"/>
                <w:color w:val="auto"/>
                <w:sz w:val="22"/>
                <w:szCs w:val="22"/>
                <w:lang w:val="fr-FR"/>
              </w:rPr>
              <w:t>Réduction de la stigmatisation et de la discrimination</w:t>
            </w:r>
          </w:p>
          <w:p w14:paraId="71DF2152" w14:textId="1BB69971" w:rsidR="00FD58BD" w:rsidRPr="00750CA9" w:rsidRDefault="00FD58BD" w:rsidP="00390EA4">
            <w:pPr>
              <w:pStyle w:val="Texteformulaire"/>
              <w:rPr>
                <w:lang w:val="fr-FR"/>
              </w:rPr>
            </w:pPr>
            <w:r w:rsidRPr="00750CA9">
              <w:rPr>
                <w:lang w:val="fr-FR"/>
              </w:rPr>
              <w:t xml:space="preserve">Il s’agira de redynamiser le site national « protection pour tous » de rapportage des cas de </w:t>
            </w:r>
            <w:r w:rsidRPr="000079FB">
              <w:rPr>
                <w:lang w:val="fr-FR"/>
              </w:rPr>
              <w:t>vio</w:t>
            </w:r>
            <w:r w:rsidR="00AC350D">
              <w:rPr>
                <w:lang w:val="fr-FR"/>
              </w:rPr>
              <w:t>l</w:t>
            </w:r>
            <w:r w:rsidRPr="000079FB">
              <w:rPr>
                <w:lang w:val="fr-FR"/>
              </w:rPr>
              <w:t>ences</w:t>
            </w:r>
            <w:r w:rsidRPr="00750CA9">
              <w:rPr>
                <w:lang w:val="fr-FR"/>
              </w:rPr>
              <w:t xml:space="preserve"> faites aux populations clés et aux PVVIH. A cet effet, une application mobile sera </w:t>
            </w:r>
            <w:proofErr w:type="spellStart"/>
            <w:r w:rsidRPr="00750CA9">
              <w:rPr>
                <w:lang w:val="fr-FR"/>
              </w:rPr>
              <w:t>developée</w:t>
            </w:r>
            <w:proofErr w:type="spellEnd"/>
            <w:r w:rsidRPr="00750CA9">
              <w:rPr>
                <w:lang w:val="fr-FR"/>
              </w:rPr>
              <w:t xml:space="preserve"> en vue de faciliter son utilisation par les victimes. Par ailleurs, une interopérabilité avec les autres outils ce qui permettra une meilleure coordination au niveau national.</w:t>
            </w:r>
          </w:p>
          <w:p w14:paraId="664D99E9" w14:textId="16F363D4" w:rsidR="004044B1" w:rsidRDefault="00D2178D" w:rsidP="004044B1">
            <w:pPr>
              <w:pStyle w:val="Texteformulaire"/>
              <w:rPr>
                <w:lang w:val="fr-FR"/>
              </w:rPr>
            </w:pPr>
            <w:r w:rsidRPr="00750CA9">
              <w:rPr>
                <w:lang w:val="fr-FR"/>
              </w:rPr>
              <w:t>L’</w:t>
            </w:r>
            <w:r w:rsidR="004044B1">
              <w:rPr>
                <w:lang w:val="fr-FR"/>
              </w:rPr>
              <w:t>O</w:t>
            </w:r>
            <w:r w:rsidRPr="00750CA9">
              <w:rPr>
                <w:lang w:val="fr-FR"/>
              </w:rPr>
              <w:t>bservatoire Droit</w:t>
            </w:r>
            <w:r w:rsidR="004044B1">
              <w:rPr>
                <w:lang w:val="fr-FR"/>
              </w:rPr>
              <w:t>s</w:t>
            </w:r>
            <w:r w:rsidRPr="00750CA9">
              <w:rPr>
                <w:lang w:val="fr-FR"/>
              </w:rPr>
              <w:t xml:space="preserve"> Humain</w:t>
            </w:r>
            <w:r w:rsidR="004044B1">
              <w:rPr>
                <w:lang w:val="fr-FR"/>
              </w:rPr>
              <w:t xml:space="preserve">s </w:t>
            </w:r>
            <w:r w:rsidR="004044B1">
              <w:rPr>
                <w:rFonts w:cs="Arial"/>
                <w:lang w:val="fr-FR"/>
              </w:rPr>
              <w:t>(ODH),</w:t>
            </w:r>
            <w:r w:rsidR="004044B1" w:rsidRPr="002B4782">
              <w:rPr>
                <w:rFonts w:cs="Arial"/>
                <w:lang w:val="fr-FR"/>
              </w:rPr>
              <w:t xml:space="preserve"> </w:t>
            </w:r>
            <w:r w:rsidR="004044B1">
              <w:rPr>
                <w:rFonts w:cs="Arial"/>
                <w:lang w:val="fr-FR"/>
              </w:rPr>
              <w:t xml:space="preserve">développé par ENDA Santé sur financement du NFM2, </w:t>
            </w:r>
            <w:r w:rsidR="004044B1">
              <w:rPr>
                <w:lang w:val="fr-FR"/>
              </w:rPr>
              <w:t xml:space="preserve">répond aux </w:t>
            </w:r>
            <w:r w:rsidRPr="00750CA9">
              <w:rPr>
                <w:lang w:val="fr-FR"/>
              </w:rPr>
              <w:t>question</w:t>
            </w:r>
            <w:r w:rsidR="004044B1">
              <w:rPr>
                <w:lang w:val="fr-FR"/>
              </w:rPr>
              <w:t>s</w:t>
            </w:r>
            <w:r w:rsidRPr="00750CA9">
              <w:rPr>
                <w:lang w:val="fr-FR"/>
              </w:rPr>
              <w:t xml:space="preserve"> de violences et</w:t>
            </w:r>
            <w:r w:rsidR="004044B1">
              <w:rPr>
                <w:lang w:val="fr-FR"/>
              </w:rPr>
              <w:t xml:space="preserve"> autres</w:t>
            </w:r>
            <w:r w:rsidRPr="00750CA9">
              <w:rPr>
                <w:lang w:val="fr-FR"/>
              </w:rPr>
              <w:t xml:space="preserve"> atteintes aux DH en direction des PVVIH et des populations clés. </w:t>
            </w:r>
          </w:p>
          <w:p w14:paraId="1D90F1CA" w14:textId="27EAB391" w:rsidR="004044B1" w:rsidRPr="0019513D" w:rsidRDefault="004044B1" w:rsidP="00750CA9">
            <w:pPr>
              <w:pStyle w:val="Texteformulaire"/>
              <w:rPr>
                <w:lang w:val="fr-FR"/>
              </w:rPr>
            </w:pPr>
            <w:r>
              <w:rPr>
                <w:lang w:val="fr-FR"/>
              </w:rPr>
              <w:lastRenderedPageBreak/>
              <w:t xml:space="preserve">Il </w:t>
            </w:r>
            <w:r>
              <w:rPr>
                <w:rFonts w:cs="Arial"/>
                <w:lang w:val="fr-FR"/>
              </w:rPr>
              <w:t>est prévu qu’il</w:t>
            </w:r>
            <w:r w:rsidRPr="002B4782">
              <w:rPr>
                <w:rFonts w:cs="Arial"/>
                <w:lang w:val="fr-FR"/>
              </w:rPr>
              <w:t xml:space="preserve"> </w:t>
            </w:r>
            <w:r>
              <w:rPr>
                <w:rFonts w:cs="Arial"/>
                <w:lang w:val="fr-FR"/>
              </w:rPr>
              <w:t xml:space="preserve">intègre à terme 2 </w:t>
            </w:r>
            <w:r w:rsidRPr="002B4782">
              <w:rPr>
                <w:rFonts w:cs="Arial"/>
                <w:lang w:val="fr-FR"/>
              </w:rPr>
              <w:t>composantes</w:t>
            </w:r>
            <w:r>
              <w:rPr>
                <w:rFonts w:cs="Arial"/>
                <w:lang w:val="fr-FR"/>
              </w:rPr>
              <w:t xml:space="preserve"> </w:t>
            </w:r>
            <w:r w:rsidRPr="002B4782">
              <w:rPr>
                <w:rFonts w:cs="Arial"/>
                <w:lang w:val="fr-FR"/>
              </w:rPr>
              <w:t>:</w:t>
            </w:r>
          </w:p>
          <w:p w14:paraId="593E6811" w14:textId="39D6C63A" w:rsidR="004044B1" w:rsidRPr="004044B1" w:rsidRDefault="004044B1" w:rsidP="004044B1">
            <w:pPr>
              <w:pStyle w:val="liste1"/>
              <w:rPr>
                <w:lang w:val="fr-FR"/>
              </w:rPr>
            </w:pPr>
            <w:r w:rsidRPr="003A6304">
              <w:rPr>
                <w:lang w:val="fr-FR"/>
              </w:rPr>
              <w:t>Le volet D</w:t>
            </w:r>
            <w:r>
              <w:rPr>
                <w:lang w:val="fr-FR"/>
              </w:rPr>
              <w:t xml:space="preserve">roits </w:t>
            </w:r>
            <w:r w:rsidRPr="003A6304">
              <w:rPr>
                <w:lang w:val="fr-FR"/>
              </w:rPr>
              <w:t>H</w:t>
            </w:r>
            <w:r>
              <w:rPr>
                <w:lang w:val="fr-FR"/>
              </w:rPr>
              <w:t>umains (DH)</w:t>
            </w:r>
            <w:r w:rsidRPr="003A6304">
              <w:rPr>
                <w:lang w:val="fr-FR"/>
              </w:rPr>
              <w:t xml:space="preserve"> </w:t>
            </w:r>
            <w:r>
              <w:rPr>
                <w:lang w:val="fr-FR"/>
              </w:rPr>
              <w:t>tel que développé initialement</w:t>
            </w:r>
            <w:r w:rsidRPr="003A6304">
              <w:rPr>
                <w:lang w:val="fr-FR"/>
              </w:rPr>
              <w:t xml:space="preserve"> par </w:t>
            </w:r>
            <w:r w:rsidRPr="00750CA9">
              <w:rPr>
                <w:b/>
                <w:bCs/>
                <w:i/>
                <w:iCs/>
              </w:rPr>
              <w:t>ENDA Santé</w:t>
            </w:r>
            <w:r w:rsidR="00A73A64">
              <w:rPr>
                <w:lang w:val="fr-FR"/>
              </w:rPr>
              <w:t xml:space="preserve"> </w:t>
            </w:r>
            <w:r w:rsidRPr="004044B1">
              <w:rPr>
                <w:lang w:val="fr-FR"/>
              </w:rPr>
              <w:t>:</w:t>
            </w:r>
          </w:p>
          <w:p w14:paraId="4729B688" w14:textId="0AE55E6D" w:rsidR="004044B1" w:rsidRPr="00EC44B1" w:rsidRDefault="004044B1" w:rsidP="00EC44B1">
            <w:pPr>
              <w:pStyle w:val="liste1"/>
              <w:numPr>
                <w:ilvl w:val="1"/>
                <w:numId w:val="36"/>
              </w:numPr>
              <w:spacing w:before="60" w:after="60"/>
              <w:ind w:left="1077" w:hanging="357"/>
              <w:rPr>
                <w:lang w:val="fr-FR"/>
              </w:rPr>
            </w:pPr>
            <w:r w:rsidRPr="00EC44B1">
              <w:t xml:space="preserve">La documentation et </w:t>
            </w:r>
            <w:proofErr w:type="spellStart"/>
            <w:r w:rsidRPr="00EC44B1">
              <w:t>l’analyse</w:t>
            </w:r>
            <w:proofErr w:type="spellEnd"/>
            <w:r w:rsidRPr="00EC44B1">
              <w:t xml:space="preserve"> les violations des droits </w:t>
            </w:r>
            <w:proofErr w:type="spellStart"/>
            <w:r w:rsidRPr="00EC44B1">
              <w:t>fondamentaux</w:t>
            </w:r>
            <w:proofErr w:type="spellEnd"/>
            <w:r w:rsidRPr="00EC44B1">
              <w:t xml:space="preserve"> des populations </w:t>
            </w:r>
            <w:proofErr w:type="spellStart"/>
            <w:r w:rsidRPr="00EC44B1">
              <w:t>clés</w:t>
            </w:r>
            <w:proofErr w:type="spellEnd"/>
          </w:p>
          <w:p w14:paraId="264C5A5F" w14:textId="7372E8ED" w:rsidR="004044B1" w:rsidRPr="00EC44B1" w:rsidRDefault="004044B1" w:rsidP="00EC44B1">
            <w:pPr>
              <w:pStyle w:val="liste1"/>
              <w:numPr>
                <w:ilvl w:val="1"/>
                <w:numId w:val="36"/>
              </w:numPr>
              <w:spacing w:before="60" w:after="60"/>
              <w:ind w:left="1077" w:hanging="357"/>
              <w:rPr>
                <w:lang w:val="fr-FR"/>
              </w:rPr>
            </w:pPr>
            <w:proofErr w:type="spellStart"/>
            <w:r w:rsidRPr="00EC44B1">
              <w:t>L’alerte</w:t>
            </w:r>
            <w:proofErr w:type="spellEnd"/>
            <w:r w:rsidRPr="00EC44B1">
              <w:t xml:space="preserve"> sur </w:t>
            </w:r>
            <w:proofErr w:type="spellStart"/>
            <w:r w:rsidRPr="00EC44B1">
              <w:t>cas</w:t>
            </w:r>
            <w:proofErr w:type="spellEnd"/>
            <w:r w:rsidRPr="00EC44B1">
              <w:t xml:space="preserve"> de violations et </w:t>
            </w:r>
            <w:proofErr w:type="spellStart"/>
            <w:r w:rsidRPr="00EC44B1">
              <w:t>l’impact</w:t>
            </w:r>
            <w:proofErr w:type="spellEnd"/>
            <w:r w:rsidRPr="00EC44B1">
              <w:t xml:space="preserve"> des politiques sur les conditions de vie des populations </w:t>
            </w:r>
            <w:proofErr w:type="spellStart"/>
            <w:r w:rsidRPr="00EC44B1">
              <w:t>clés</w:t>
            </w:r>
            <w:proofErr w:type="spellEnd"/>
          </w:p>
          <w:p w14:paraId="5A33B59E" w14:textId="411E3FBD" w:rsidR="004044B1" w:rsidRPr="00EC44B1" w:rsidRDefault="004044B1" w:rsidP="00EC44B1">
            <w:pPr>
              <w:pStyle w:val="liste1"/>
              <w:numPr>
                <w:ilvl w:val="1"/>
                <w:numId w:val="36"/>
              </w:numPr>
              <w:spacing w:before="60" w:after="60"/>
              <w:ind w:left="1077" w:hanging="357"/>
              <w:rPr>
                <w:lang w:val="fr-FR"/>
              </w:rPr>
            </w:pPr>
            <w:r w:rsidRPr="00EC44B1">
              <w:t xml:space="preserve">Le </w:t>
            </w:r>
            <w:proofErr w:type="spellStart"/>
            <w:r w:rsidRPr="00EC44B1">
              <w:t>renforcement</w:t>
            </w:r>
            <w:proofErr w:type="spellEnd"/>
            <w:r w:rsidRPr="00EC44B1">
              <w:t xml:space="preserve"> des </w:t>
            </w:r>
            <w:proofErr w:type="spellStart"/>
            <w:r w:rsidRPr="00EC44B1">
              <w:t>capacités</w:t>
            </w:r>
            <w:proofErr w:type="spellEnd"/>
            <w:r w:rsidRPr="00EC44B1">
              <w:t xml:space="preserve"> de </w:t>
            </w:r>
            <w:proofErr w:type="spellStart"/>
            <w:r w:rsidRPr="00EC44B1">
              <w:t>ses</w:t>
            </w:r>
            <w:proofErr w:type="spellEnd"/>
            <w:r w:rsidRPr="00EC44B1">
              <w:t xml:space="preserve"> </w:t>
            </w:r>
            <w:proofErr w:type="spellStart"/>
            <w:r w:rsidRPr="00EC44B1">
              <w:t>membres</w:t>
            </w:r>
            <w:proofErr w:type="spellEnd"/>
            <w:r w:rsidRPr="00EC44B1">
              <w:t xml:space="preserve"> et des </w:t>
            </w:r>
            <w:proofErr w:type="spellStart"/>
            <w:r w:rsidRPr="00EC44B1">
              <w:t>organisations</w:t>
            </w:r>
            <w:proofErr w:type="spellEnd"/>
            <w:r w:rsidRPr="00EC44B1">
              <w:t xml:space="preserve"> </w:t>
            </w:r>
            <w:proofErr w:type="spellStart"/>
            <w:r w:rsidRPr="00EC44B1">
              <w:t>gouvernementales</w:t>
            </w:r>
            <w:proofErr w:type="spellEnd"/>
            <w:r w:rsidRPr="00EC44B1">
              <w:t xml:space="preserve"> et non </w:t>
            </w:r>
            <w:proofErr w:type="spellStart"/>
            <w:r w:rsidRPr="00EC44B1">
              <w:t>gouvernementales</w:t>
            </w:r>
            <w:proofErr w:type="spellEnd"/>
            <w:r w:rsidRPr="00EC44B1">
              <w:t xml:space="preserve"> sur les droits </w:t>
            </w:r>
            <w:proofErr w:type="spellStart"/>
            <w:r w:rsidRPr="00EC44B1">
              <w:t>humains</w:t>
            </w:r>
            <w:proofErr w:type="spellEnd"/>
          </w:p>
          <w:p w14:paraId="0CCB56B4" w14:textId="1C643BE3" w:rsidR="004044B1" w:rsidRPr="00EC44B1" w:rsidRDefault="004044B1" w:rsidP="00EC44B1">
            <w:pPr>
              <w:pStyle w:val="liste1"/>
              <w:numPr>
                <w:ilvl w:val="1"/>
                <w:numId w:val="36"/>
              </w:numPr>
              <w:spacing w:before="60" w:after="60"/>
              <w:ind w:left="1077" w:hanging="357"/>
              <w:rPr>
                <w:lang w:val="fr-FR"/>
              </w:rPr>
            </w:pPr>
            <w:r w:rsidRPr="00EC44B1">
              <w:t xml:space="preserve">Le </w:t>
            </w:r>
            <w:proofErr w:type="spellStart"/>
            <w:r w:rsidRPr="00EC44B1">
              <w:t>référencement</w:t>
            </w:r>
            <w:proofErr w:type="spellEnd"/>
            <w:r w:rsidRPr="00EC44B1">
              <w:t xml:space="preserve"> </w:t>
            </w:r>
            <w:proofErr w:type="spellStart"/>
            <w:r w:rsidRPr="00EC44B1">
              <w:t>vers</w:t>
            </w:r>
            <w:proofErr w:type="spellEnd"/>
            <w:r w:rsidRPr="00EC44B1">
              <w:t xml:space="preserve"> des structures pour </w:t>
            </w:r>
            <w:proofErr w:type="spellStart"/>
            <w:r w:rsidRPr="00EC44B1">
              <w:t>une</w:t>
            </w:r>
            <w:proofErr w:type="spellEnd"/>
            <w:r w:rsidRPr="00EC44B1">
              <w:t xml:space="preserve"> </w:t>
            </w:r>
            <w:proofErr w:type="spellStart"/>
            <w:r w:rsidRPr="00EC44B1">
              <w:t>offre</w:t>
            </w:r>
            <w:proofErr w:type="spellEnd"/>
            <w:r w:rsidRPr="00EC44B1">
              <w:t xml:space="preserve"> de service </w:t>
            </w:r>
            <w:proofErr w:type="spellStart"/>
            <w:r w:rsidRPr="00EC44B1">
              <w:t>médical</w:t>
            </w:r>
            <w:proofErr w:type="spellEnd"/>
            <w:r w:rsidRPr="00EC44B1">
              <w:t xml:space="preserve">, </w:t>
            </w:r>
            <w:proofErr w:type="spellStart"/>
            <w:r w:rsidRPr="00EC44B1">
              <w:t>judiciaire</w:t>
            </w:r>
            <w:proofErr w:type="spellEnd"/>
            <w:r w:rsidRPr="00EC44B1">
              <w:t xml:space="preserve"> et/</w:t>
            </w:r>
            <w:proofErr w:type="spellStart"/>
            <w:r w:rsidRPr="00EC44B1">
              <w:t>ou</w:t>
            </w:r>
            <w:proofErr w:type="spellEnd"/>
            <w:r w:rsidRPr="00EC44B1">
              <w:t xml:space="preserve"> </w:t>
            </w:r>
            <w:proofErr w:type="spellStart"/>
            <w:r w:rsidRPr="00EC44B1">
              <w:t>juridique</w:t>
            </w:r>
            <w:proofErr w:type="spellEnd"/>
          </w:p>
          <w:p w14:paraId="6FC9E4DF" w14:textId="77777777" w:rsidR="004044B1" w:rsidRPr="00EC44B1" w:rsidRDefault="004044B1" w:rsidP="00EC44B1">
            <w:pPr>
              <w:pStyle w:val="liste1"/>
              <w:numPr>
                <w:ilvl w:val="1"/>
                <w:numId w:val="36"/>
              </w:numPr>
              <w:spacing w:before="60" w:after="60"/>
              <w:ind w:left="1077" w:hanging="357"/>
              <w:rPr>
                <w:lang w:val="fr-FR"/>
              </w:rPr>
            </w:pPr>
            <w:r w:rsidRPr="00EC44B1">
              <w:t xml:space="preserve">La mise </w:t>
            </w:r>
            <w:proofErr w:type="spellStart"/>
            <w:r w:rsidRPr="00EC44B1">
              <w:t>en</w:t>
            </w:r>
            <w:proofErr w:type="spellEnd"/>
            <w:r w:rsidRPr="00EC44B1">
              <w:t xml:space="preserve"> place de </w:t>
            </w:r>
            <w:proofErr w:type="spellStart"/>
            <w:r w:rsidRPr="00EC44B1">
              <w:t>stratégies</w:t>
            </w:r>
            <w:proofErr w:type="spellEnd"/>
            <w:r w:rsidRPr="00EC44B1">
              <w:t xml:space="preserve"> pour </w:t>
            </w:r>
            <w:proofErr w:type="spellStart"/>
            <w:r w:rsidRPr="00EC44B1">
              <w:t>améliorer</w:t>
            </w:r>
            <w:proofErr w:type="spellEnd"/>
            <w:r w:rsidRPr="00EC44B1">
              <w:t xml:space="preserve"> </w:t>
            </w:r>
            <w:proofErr w:type="spellStart"/>
            <w:r w:rsidRPr="00EC44B1">
              <w:t>l’environnement</w:t>
            </w:r>
            <w:proofErr w:type="spellEnd"/>
            <w:r w:rsidRPr="00EC44B1">
              <w:t xml:space="preserve"> </w:t>
            </w:r>
            <w:proofErr w:type="spellStart"/>
            <w:r w:rsidRPr="00EC44B1">
              <w:t>juridique</w:t>
            </w:r>
            <w:proofErr w:type="spellEnd"/>
            <w:r w:rsidRPr="00EC44B1">
              <w:t xml:space="preserve">, </w:t>
            </w:r>
            <w:proofErr w:type="spellStart"/>
            <w:r w:rsidRPr="00EC44B1">
              <w:t>sécuritaire</w:t>
            </w:r>
            <w:proofErr w:type="spellEnd"/>
            <w:r w:rsidRPr="00EC44B1">
              <w:t xml:space="preserve">, social, politique et sanitaire </w:t>
            </w:r>
            <w:proofErr w:type="spellStart"/>
            <w:r w:rsidRPr="00EC44B1">
              <w:t>en</w:t>
            </w:r>
            <w:proofErr w:type="spellEnd"/>
            <w:r w:rsidRPr="00EC44B1">
              <w:t xml:space="preserve"> lien avec les populations </w:t>
            </w:r>
            <w:proofErr w:type="spellStart"/>
            <w:r w:rsidRPr="00EC44B1">
              <w:t>clés</w:t>
            </w:r>
            <w:proofErr w:type="spellEnd"/>
          </w:p>
          <w:p w14:paraId="2F5E22AB" w14:textId="4C5A4776" w:rsidR="004044B1" w:rsidRPr="00EC44B1" w:rsidRDefault="004044B1" w:rsidP="00EC44B1">
            <w:pPr>
              <w:pStyle w:val="liste1"/>
              <w:numPr>
                <w:ilvl w:val="1"/>
                <w:numId w:val="36"/>
              </w:numPr>
              <w:spacing w:before="60" w:after="60"/>
              <w:ind w:left="1077" w:hanging="357"/>
              <w:rPr>
                <w:lang w:val="fr-FR"/>
              </w:rPr>
            </w:pPr>
            <w:r w:rsidRPr="00EC44B1">
              <w:t xml:space="preserve">Le plaidoyer pour </w:t>
            </w:r>
            <w:proofErr w:type="spellStart"/>
            <w:r w:rsidRPr="00EC44B1">
              <w:t>l’amélioration</w:t>
            </w:r>
            <w:proofErr w:type="spellEnd"/>
            <w:r w:rsidRPr="00EC44B1">
              <w:t xml:space="preserve"> de </w:t>
            </w:r>
            <w:proofErr w:type="spellStart"/>
            <w:r w:rsidRPr="00EC44B1">
              <w:t>l’environnement</w:t>
            </w:r>
            <w:proofErr w:type="spellEnd"/>
            <w:r w:rsidRPr="00EC44B1">
              <w:t xml:space="preserve"> </w:t>
            </w:r>
            <w:proofErr w:type="spellStart"/>
            <w:r w:rsidRPr="00EC44B1">
              <w:t>légal</w:t>
            </w:r>
            <w:proofErr w:type="spellEnd"/>
            <w:r w:rsidRPr="00EC44B1">
              <w:t xml:space="preserve"> </w:t>
            </w:r>
            <w:proofErr w:type="spellStart"/>
            <w:r w:rsidRPr="00EC44B1">
              <w:t>en</w:t>
            </w:r>
            <w:proofErr w:type="spellEnd"/>
            <w:r w:rsidRPr="00EC44B1">
              <w:t xml:space="preserve"> </w:t>
            </w:r>
            <w:proofErr w:type="spellStart"/>
            <w:r w:rsidRPr="00EC44B1">
              <w:t>faveur</w:t>
            </w:r>
            <w:proofErr w:type="spellEnd"/>
            <w:r w:rsidRPr="00EC44B1">
              <w:t xml:space="preserve"> des populations </w:t>
            </w:r>
            <w:proofErr w:type="spellStart"/>
            <w:r w:rsidRPr="00EC44B1">
              <w:t>clés</w:t>
            </w:r>
            <w:proofErr w:type="spellEnd"/>
          </w:p>
          <w:p w14:paraId="64598350" w14:textId="59E29868" w:rsidR="004044B1" w:rsidRDefault="004044B1" w:rsidP="00750CA9">
            <w:pPr>
              <w:pStyle w:val="liste1"/>
              <w:rPr>
                <w:lang w:val="fr-FR"/>
              </w:rPr>
            </w:pPr>
            <w:r w:rsidRPr="003A6304">
              <w:rPr>
                <w:lang w:val="fr-FR"/>
              </w:rPr>
              <w:t xml:space="preserve">Le volet </w:t>
            </w:r>
            <w:r>
              <w:rPr>
                <w:lang w:val="fr-FR"/>
              </w:rPr>
              <w:t>V</w:t>
            </w:r>
            <w:r w:rsidRPr="003A6304">
              <w:rPr>
                <w:lang w:val="fr-FR"/>
              </w:rPr>
              <w:t xml:space="preserve">eille et </w:t>
            </w:r>
            <w:r>
              <w:rPr>
                <w:lang w:val="fr-FR"/>
              </w:rPr>
              <w:t>S</w:t>
            </w:r>
            <w:r w:rsidRPr="003A6304">
              <w:rPr>
                <w:lang w:val="fr-FR"/>
              </w:rPr>
              <w:t xml:space="preserve">urveillance Communautaire pour l’accès au traitement, </w:t>
            </w:r>
            <w:r>
              <w:rPr>
                <w:lang w:val="fr-FR"/>
              </w:rPr>
              <w:t>au suivi biologique</w:t>
            </w:r>
            <w:r w:rsidR="00A73A64">
              <w:rPr>
                <w:lang w:val="fr-FR"/>
              </w:rPr>
              <w:t xml:space="preserve"> / examens complémentaires</w:t>
            </w:r>
            <w:r w:rsidRPr="003A6304">
              <w:rPr>
                <w:lang w:val="fr-FR"/>
              </w:rPr>
              <w:t xml:space="preserve"> et </w:t>
            </w:r>
            <w:r>
              <w:rPr>
                <w:lang w:val="fr-FR"/>
              </w:rPr>
              <w:t xml:space="preserve">à </w:t>
            </w:r>
            <w:r w:rsidRPr="003A6304">
              <w:rPr>
                <w:lang w:val="fr-FR"/>
              </w:rPr>
              <w:t xml:space="preserve">la gratuité </w:t>
            </w:r>
            <w:r>
              <w:rPr>
                <w:lang w:val="fr-FR"/>
              </w:rPr>
              <w:t xml:space="preserve">effective </w:t>
            </w:r>
            <w:r w:rsidRPr="003A6304">
              <w:rPr>
                <w:lang w:val="fr-FR"/>
              </w:rPr>
              <w:t xml:space="preserve">des </w:t>
            </w:r>
            <w:r>
              <w:rPr>
                <w:lang w:val="fr-FR"/>
              </w:rPr>
              <w:t xml:space="preserve">services, </w:t>
            </w:r>
            <w:r w:rsidRPr="003A6304">
              <w:rPr>
                <w:lang w:val="fr-FR"/>
              </w:rPr>
              <w:t xml:space="preserve">mis en œuvre par la </w:t>
            </w:r>
            <w:proofErr w:type="spellStart"/>
            <w:r w:rsidRPr="00750CA9">
              <w:rPr>
                <w:b/>
                <w:bCs/>
                <w:i/>
                <w:iCs/>
              </w:rPr>
              <w:t>Plateforme</w:t>
            </w:r>
            <w:proofErr w:type="spellEnd"/>
            <w:r w:rsidRPr="00750CA9">
              <w:rPr>
                <w:b/>
                <w:bCs/>
                <w:i/>
                <w:iCs/>
              </w:rPr>
              <w:t xml:space="preserve"> des </w:t>
            </w:r>
            <w:proofErr w:type="spellStart"/>
            <w:r w:rsidRPr="00750CA9">
              <w:rPr>
                <w:b/>
                <w:bCs/>
                <w:i/>
                <w:iCs/>
              </w:rPr>
              <w:t>Réseaux</w:t>
            </w:r>
            <w:proofErr w:type="spellEnd"/>
            <w:r w:rsidRPr="00750CA9">
              <w:rPr>
                <w:b/>
                <w:bCs/>
                <w:i/>
                <w:iCs/>
              </w:rPr>
              <w:t xml:space="preserve"> et </w:t>
            </w:r>
            <w:proofErr w:type="spellStart"/>
            <w:r w:rsidRPr="00750CA9">
              <w:rPr>
                <w:b/>
                <w:bCs/>
                <w:i/>
                <w:iCs/>
              </w:rPr>
              <w:t>Faitières</w:t>
            </w:r>
            <w:proofErr w:type="spellEnd"/>
            <w:r w:rsidRPr="00750CA9">
              <w:rPr>
                <w:b/>
                <w:bCs/>
                <w:i/>
                <w:iCs/>
              </w:rPr>
              <w:t xml:space="preserve"> de </w:t>
            </w:r>
            <w:proofErr w:type="spellStart"/>
            <w:r w:rsidRPr="00750CA9">
              <w:rPr>
                <w:b/>
                <w:bCs/>
                <w:i/>
                <w:iCs/>
              </w:rPr>
              <w:t>lutte</w:t>
            </w:r>
            <w:proofErr w:type="spellEnd"/>
            <w:r w:rsidRPr="00750CA9">
              <w:rPr>
                <w:b/>
                <w:bCs/>
                <w:i/>
                <w:iCs/>
              </w:rPr>
              <w:t xml:space="preserve"> </w:t>
            </w:r>
            <w:proofErr w:type="spellStart"/>
            <w:r w:rsidRPr="00750CA9">
              <w:rPr>
                <w:b/>
                <w:bCs/>
                <w:i/>
                <w:iCs/>
              </w:rPr>
              <w:t>contre</w:t>
            </w:r>
            <w:proofErr w:type="spellEnd"/>
            <w:r w:rsidRPr="00750CA9">
              <w:rPr>
                <w:b/>
                <w:bCs/>
                <w:i/>
                <w:iCs/>
              </w:rPr>
              <w:t xml:space="preserve"> le </w:t>
            </w:r>
            <w:proofErr w:type="spellStart"/>
            <w:r w:rsidRPr="00750CA9">
              <w:rPr>
                <w:b/>
                <w:bCs/>
                <w:i/>
                <w:iCs/>
              </w:rPr>
              <w:t>Sida</w:t>
            </w:r>
            <w:proofErr w:type="spellEnd"/>
            <w:r w:rsidRPr="00750CA9">
              <w:rPr>
                <w:b/>
                <w:bCs/>
                <w:i/>
                <w:iCs/>
              </w:rPr>
              <w:t xml:space="preserve">, la </w:t>
            </w:r>
            <w:proofErr w:type="spellStart"/>
            <w:r w:rsidRPr="00750CA9">
              <w:rPr>
                <w:b/>
                <w:bCs/>
                <w:i/>
                <w:iCs/>
              </w:rPr>
              <w:t>Tuberculose</w:t>
            </w:r>
            <w:proofErr w:type="spellEnd"/>
            <w:r w:rsidRPr="00750CA9">
              <w:rPr>
                <w:b/>
                <w:bCs/>
                <w:i/>
                <w:iCs/>
              </w:rPr>
              <w:t xml:space="preserve"> et le Paludisme</w:t>
            </w:r>
            <w:r w:rsidRPr="003A6304">
              <w:rPr>
                <w:lang w:val="fr-FR"/>
              </w:rPr>
              <w:t>.</w:t>
            </w:r>
          </w:p>
          <w:p w14:paraId="3B9BBE88" w14:textId="77777777" w:rsidR="00A73A64" w:rsidRDefault="00A73A64" w:rsidP="00A73A64">
            <w:pPr>
              <w:pStyle w:val="Texteformulaire"/>
            </w:pPr>
            <w:proofErr w:type="spellStart"/>
            <w:r w:rsidRPr="00A73A64">
              <w:t>L’évaluation</w:t>
            </w:r>
            <w:proofErr w:type="spellEnd"/>
            <w:r w:rsidRPr="00A73A64">
              <w:t xml:space="preserve"> de </w:t>
            </w:r>
            <w:proofErr w:type="spellStart"/>
            <w:r w:rsidRPr="00A73A64">
              <w:t>référence</w:t>
            </w:r>
            <w:proofErr w:type="spellEnd"/>
            <w:r w:rsidRPr="00A73A64">
              <w:t xml:space="preserve"> pour le </w:t>
            </w:r>
            <w:proofErr w:type="spellStart"/>
            <w:r w:rsidRPr="00A73A64">
              <w:t>déploiement</w:t>
            </w:r>
            <w:proofErr w:type="spellEnd"/>
            <w:r w:rsidRPr="00A73A64">
              <w:t xml:space="preserve"> à </w:t>
            </w:r>
            <w:proofErr w:type="spellStart"/>
            <w:r>
              <w:t>l’</w:t>
            </w:r>
            <w:r w:rsidRPr="00A73A64">
              <w:t>échelle</w:t>
            </w:r>
            <w:proofErr w:type="spellEnd"/>
            <w:r w:rsidRPr="00A73A64">
              <w:t xml:space="preserve"> des </w:t>
            </w:r>
            <w:proofErr w:type="spellStart"/>
            <w:r w:rsidRPr="00A73A64">
              <w:t>programmes</w:t>
            </w:r>
            <w:proofErr w:type="spellEnd"/>
            <w:r w:rsidRPr="00A73A64">
              <w:t xml:space="preserve"> </w:t>
            </w:r>
            <w:proofErr w:type="spellStart"/>
            <w:r w:rsidRPr="00A73A64">
              <w:t>visant</w:t>
            </w:r>
            <w:proofErr w:type="spellEnd"/>
            <w:r w:rsidRPr="00A73A64">
              <w:t xml:space="preserve"> à </w:t>
            </w:r>
            <w:proofErr w:type="spellStart"/>
            <w:r w:rsidRPr="00A73A64">
              <w:t>réduire</w:t>
            </w:r>
            <w:proofErr w:type="spellEnd"/>
            <w:r w:rsidRPr="00A73A64">
              <w:t xml:space="preserve"> les obstacles </w:t>
            </w:r>
            <w:proofErr w:type="spellStart"/>
            <w:r w:rsidRPr="00A73A64">
              <w:t>liés</w:t>
            </w:r>
            <w:proofErr w:type="spellEnd"/>
            <w:r w:rsidRPr="00A73A64">
              <w:t xml:space="preserve"> aux droits </w:t>
            </w:r>
            <w:proofErr w:type="spellStart"/>
            <w:r w:rsidRPr="00A73A64">
              <w:t>humains</w:t>
            </w:r>
            <w:proofErr w:type="spellEnd"/>
            <w:r w:rsidRPr="00A73A64">
              <w:t xml:space="preserve"> qui </w:t>
            </w:r>
            <w:proofErr w:type="spellStart"/>
            <w:r w:rsidRPr="00A73A64">
              <w:t>entravent</w:t>
            </w:r>
            <w:proofErr w:type="spellEnd"/>
            <w:r w:rsidRPr="00A73A64">
              <w:t xml:space="preserve"> </w:t>
            </w:r>
            <w:proofErr w:type="spellStart"/>
            <w:r w:rsidRPr="00A73A64">
              <w:t>l’accès</w:t>
            </w:r>
            <w:proofErr w:type="spellEnd"/>
            <w:r w:rsidRPr="00A73A64">
              <w:t xml:space="preserve"> aux services de </w:t>
            </w:r>
            <w:proofErr w:type="spellStart"/>
            <w:r w:rsidRPr="00A73A64">
              <w:t>lutte</w:t>
            </w:r>
            <w:proofErr w:type="spellEnd"/>
            <w:r w:rsidRPr="00A73A64">
              <w:t xml:space="preserve"> </w:t>
            </w:r>
            <w:proofErr w:type="spellStart"/>
            <w:r w:rsidRPr="00A73A64">
              <w:t>contre</w:t>
            </w:r>
            <w:proofErr w:type="spellEnd"/>
            <w:r w:rsidRPr="00A73A64">
              <w:t xml:space="preserve"> le VIH et la </w:t>
            </w:r>
            <w:proofErr w:type="spellStart"/>
            <w:r w:rsidRPr="00A73A64">
              <w:t>tuberculose</w:t>
            </w:r>
            <w:proofErr w:type="spellEnd"/>
            <w:r w:rsidRPr="00A73A64">
              <w:t xml:space="preserve"> met </w:t>
            </w:r>
            <w:proofErr w:type="spellStart"/>
            <w:r w:rsidRPr="00A73A64">
              <w:t>l’accent</w:t>
            </w:r>
            <w:proofErr w:type="spellEnd"/>
            <w:r w:rsidRPr="00A73A64">
              <w:t xml:space="preserve"> sur la </w:t>
            </w:r>
            <w:proofErr w:type="spellStart"/>
            <w:r w:rsidRPr="00A73A64">
              <w:t>persistance</w:t>
            </w:r>
            <w:proofErr w:type="spellEnd"/>
            <w:r w:rsidRPr="00A73A64">
              <w:t xml:space="preserve"> au sein de la </w:t>
            </w:r>
            <w:proofErr w:type="spellStart"/>
            <w:r w:rsidRPr="00A73A64">
              <w:t>société</w:t>
            </w:r>
            <w:proofErr w:type="spellEnd"/>
            <w:r w:rsidRPr="00A73A64">
              <w:t xml:space="preserve"> de </w:t>
            </w:r>
            <w:proofErr w:type="spellStart"/>
            <w:r w:rsidRPr="00A73A64">
              <w:t>préjugés</w:t>
            </w:r>
            <w:proofErr w:type="spellEnd"/>
            <w:r w:rsidRPr="00A73A64">
              <w:t xml:space="preserve">, perceptions </w:t>
            </w:r>
            <w:proofErr w:type="spellStart"/>
            <w:r w:rsidRPr="00A73A64">
              <w:t>négatives</w:t>
            </w:r>
            <w:proofErr w:type="spellEnd"/>
            <w:r w:rsidRPr="00A73A64">
              <w:t xml:space="preserve"> de populations </w:t>
            </w:r>
            <w:proofErr w:type="spellStart"/>
            <w:r w:rsidRPr="00A73A64">
              <w:t>clés</w:t>
            </w:r>
            <w:proofErr w:type="spellEnd"/>
            <w:r w:rsidRPr="00A73A64">
              <w:t xml:space="preserve"> et </w:t>
            </w:r>
            <w:proofErr w:type="spellStart"/>
            <w:r w:rsidRPr="00A73A64">
              <w:t>hautement</w:t>
            </w:r>
            <w:proofErr w:type="spellEnd"/>
            <w:r w:rsidRPr="00A73A64">
              <w:t xml:space="preserve"> </w:t>
            </w:r>
            <w:proofErr w:type="spellStart"/>
            <w:r w:rsidRPr="00A73A64">
              <w:t>vulnérables</w:t>
            </w:r>
            <w:proofErr w:type="spellEnd"/>
            <w:r w:rsidRPr="00A73A64">
              <w:t xml:space="preserve"> et de </w:t>
            </w:r>
            <w:proofErr w:type="spellStart"/>
            <w:r w:rsidRPr="00A73A64">
              <w:t>l’auto-stigmatisation</w:t>
            </w:r>
            <w:proofErr w:type="spellEnd"/>
            <w:r w:rsidRPr="00A73A64">
              <w:t xml:space="preserve"> encore </w:t>
            </w:r>
            <w:proofErr w:type="spellStart"/>
            <w:r w:rsidRPr="00A73A64">
              <w:t>affirmée</w:t>
            </w:r>
            <w:proofErr w:type="spellEnd"/>
            <w:r w:rsidRPr="00A73A64">
              <w:t xml:space="preserve"> </w:t>
            </w:r>
            <w:proofErr w:type="spellStart"/>
            <w:r w:rsidRPr="00A73A64">
              <w:t>en</w:t>
            </w:r>
            <w:proofErr w:type="spellEnd"/>
            <w:r w:rsidRPr="00A73A64">
              <w:t xml:space="preserve"> </w:t>
            </w:r>
            <w:proofErr w:type="spellStart"/>
            <w:r w:rsidRPr="00A73A64">
              <w:t>leur</w:t>
            </w:r>
            <w:proofErr w:type="spellEnd"/>
            <w:r w:rsidRPr="00A73A64">
              <w:t xml:space="preserve"> sein. </w:t>
            </w:r>
          </w:p>
          <w:p w14:paraId="0878D451" w14:textId="4FF66C0B" w:rsidR="00A73A64" w:rsidRPr="0073255E" w:rsidRDefault="00A73A64" w:rsidP="00A73A64">
            <w:pPr>
              <w:pStyle w:val="Texteformulaire"/>
            </w:pPr>
            <w:r w:rsidRPr="00A73A64">
              <w:t xml:space="preserve">Il </w:t>
            </w:r>
            <w:proofErr w:type="spellStart"/>
            <w:r w:rsidRPr="00A73A64">
              <w:t>recommande</w:t>
            </w:r>
            <w:proofErr w:type="spellEnd"/>
            <w:r w:rsidRPr="00A73A64">
              <w:t xml:space="preserve"> par </w:t>
            </w:r>
            <w:proofErr w:type="spellStart"/>
            <w:r w:rsidRPr="00A73A64">
              <w:t>ailleurs</w:t>
            </w:r>
            <w:proofErr w:type="spellEnd"/>
            <w:r w:rsidRPr="00A73A64">
              <w:t xml:space="preserve"> un </w:t>
            </w:r>
            <w:proofErr w:type="spellStart"/>
            <w:r w:rsidRPr="00A73A64">
              <w:t>renforcement</w:t>
            </w:r>
            <w:proofErr w:type="spellEnd"/>
            <w:r w:rsidRPr="00A73A64">
              <w:t xml:space="preserve"> des </w:t>
            </w:r>
            <w:proofErr w:type="spellStart"/>
            <w:r w:rsidRPr="00A73A64">
              <w:t>activités</w:t>
            </w:r>
            <w:proofErr w:type="spellEnd"/>
            <w:r w:rsidRPr="00A73A64">
              <w:t xml:space="preserve"> de </w:t>
            </w:r>
            <w:proofErr w:type="spellStart"/>
            <w:r w:rsidRPr="00A73A64">
              <w:t>l’observatoire</w:t>
            </w:r>
            <w:proofErr w:type="spellEnd"/>
            <w:r w:rsidRPr="00A73A64">
              <w:t xml:space="preserve"> et </w:t>
            </w:r>
            <w:proofErr w:type="spellStart"/>
            <w:r w:rsidRPr="00A73A64">
              <w:t>leur</w:t>
            </w:r>
            <w:proofErr w:type="spellEnd"/>
            <w:r w:rsidRPr="00A73A64">
              <w:t xml:space="preserve"> extension à 86 districts.</w:t>
            </w:r>
          </w:p>
          <w:p w14:paraId="274DD90E" w14:textId="49349CBC" w:rsidR="00A73A64" w:rsidRDefault="00D2178D" w:rsidP="004E1C7A">
            <w:pPr>
              <w:pStyle w:val="Texteformulaire"/>
              <w:rPr>
                <w:lang w:val="fr-FR"/>
              </w:rPr>
            </w:pPr>
            <w:r w:rsidRPr="00472BCC">
              <w:rPr>
                <w:lang w:val="fr-FR"/>
              </w:rPr>
              <w:t>Les défis pour le NFM3 sont</w:t>
            </w:r>
            <w:r w:rsidR="00A73A64">
              <w:rPr>
                <w:lang w:val="fr-FR"/>
              </w:rPr>
              <w:t xml:space="preserve"> donc</w:t>
            </w:r>
            <w:r w:rsidRPr="00472BCC">
              <w:rPr>
                <w:lang w:val="fr-FR"/>
              </w:rPr>
              <w:t> : (i) Assurer une plus grande visibilité d</w:t>
            </w:r>
            <w:r>
              <w:rPr>
                <w:lang w:val="fr-FR"/>
              </w:rPr>
              <w:t>es</w:t>
            </w:r>
            <w:r w:rsidRPr="00472BCC">
              <w:rPr>
                <w:lang w:val="fr-FR"/>
              </w:rPr>
              <w:t xml:space="preserve"> observatoir</w:t>
            </w:r>
            <w:r>
              <w:rPr>
                <w:lang w:val="fr-FR"/>
              </w:rPr>
              <w:t>es</w:t>
            </w:r>
            <w:r w:rsidR="009C2811">
              <w:rPr>
                <w:lang w:val="fr-FR"/>
              </w:rPr>
              <w:t> ;</w:t>
            </w:r>
            <w:r w:rsidRPr="00472BCC">
              <w:rPr>
                <w:lang w:val="fr-FR"/>
              </w:rPr>
              <w:t xml:space="preserve"> (ii) Mettre en place un cadre de coordination unique entre le volet DH et les questions d’accès au traitement afin de mettre en œuvre un système de veille plus complet</w:t>
            </w:r>
            <w:r w:rsidR="009C2811">
              <w:rPr>
                <w:lang w:val="fr-FR"/>
              </w:rPr>
              <w:t> ;</w:t>
            </w:r>
            <w:r w:rsidRPr="00472BCC">
              <w:rPr>
                <w:lang w:val="fr-FR"/>
              </w:rPr>
              <w:t xml:space="preserve"> (iii) Assurer l’extension de l’ODH sur l’ensemble du pays</w:t>
            </w:r>
            <w:r w:rsidR="009C2811">
              <w:rPr>
                <w:lang w:val="fr-FR"/>
              </w:rPr>
              <w:t> ;</w:t>
            </w:r>
            <w:r w:rsidRPr="00472BCC">
              <w:rPr>
                <w:lang w:val="fr-FR"/>
              </w:rPr>
              <w:t xml:space="preserve"> et (iv) Réduire la persistance des pesanteurs socio-culturelle</w:t>
            </w:r>
            <w:r w:rsidR="00E158C1">
              <w:rPr>
                <w:lang w:val="fr-FR"/>
              </w:rPr>
              <w:t>s</w:t>
            </w:r>
            <w:r>
              <w:rPr>
                <w:lang w:val="fr-FR"/>
              </w:rPr>
              <w:t xml:space="preserve">. </w:t>
            </w:r>
          </w:p>
          <w:p w14:paraId="3DD0C7A1" w14:textId="3594E872" w:rsidR="00D2178D" w:rsidRPr="00472BCC" w:rsidRDefault="00D2178D" w:rsidP="004E1C7A">
            <w:pPr>
              <w:pStyle w:val="Texteformulaire"/>
              <w:rPr>
                <w:lang w:val="fr-FR"/>
              </w:rPr>
            </w:pPr>
            <w:r>
              <w:rPr>
                <w:lang w:val="fr-FR"/>
              </w:rPr>
              <w:t>Les principales activités s</w:t>
            </w:r>
            <w:r w:rsidR="00A73A64">
              <w:rPr>
                <w:lang w:val="fr-FR"/>
              </w:rPr>
              <w:t>er</w:t>
            </w:r>
            <w:r>
              <w:rPr>
                <w:lang w:val="fr-FR"/>
              </w:rPr>
              <w:t>ont :</w:t>
            </w:r>
          </w:p>
          <w:p w14:paraId="0D874182" w14:textId="4916D844" w:rsidR="00D2178D" w:rsidRDefault="00D2178D" w:rsidP="00390EA4">
            <w:pPr>
              <w:pStyle w:val="liste1"/>
            </w:pPr>
            <w:r w:rsidRPr="003A5576">
              <w:t xml:space="preserve">Assurer la surveillance, </w:t>
            </w:r>
            <w:proofErr w:type="spellStart"/>
            <w:r w:rsidRPr="003A5576">
              <w:t>l’investigation</w:t>
            </w:r>
            <w:proofErr w:type="spellEnd"/>
            <w:r w:rsidRPr="003A5576">
              <w:t xml:space="preserve">, la documentation et le rapportage des </w:t>
            </w:r>
            <w:proofErr w:type="spellStart"/>
            <w:r w:rsidRPr="003A5576">
              <w:t>cas</w:t>
            </w:r>
            <w:proofErr w:type="spellEnd"/>
            <w:r w:rsidRPr="003A5576">
              <w:t xml:space="preserve"> de </w:t>
            </w:r>
            <w:proofErr w:type="spellStart"/>
            <w:r w:rsidRPr="003A5576">
              <w:t>violences</w:t>
            </w:r>
            <w:proofErr w:type="spellEnd"/>
            <w:r w:rsidRPr="003A5576">
              <w:t xml:space="preserve"> et sur </w:t>
            </w:r>
            <w:proofErr w:type="spellStart"/>
            <w:r w:rsidRPr="003A5576">
              <w:t>l’accessibilité</w:t>
            </w:r>
            <w:proofErr w:type="spellEnd"/>
            <w:r w:rsidRPr="003A5576">
              <w:t xml:space="preserve"> et la non</w:t>
            </w:r>
            <w:r w:rsidR="00364810">
              <w:t>-</w:t>
            </w:r>
            <w:proofErr w:type="spellStart"/>
            <w:r w:rsidRPr="003A5576">
              <w:t>disponibilité</w:t>
            </w:r>
            <w:proofErr w:type="spellEnd"/>
            <w:r w:rsidRPr="003A5576">
              <w:t xml:space="preserve"> des </w:t>
            </w:r>
            <w:proofErr w:type="spellStart"/>
            <w:r w:rsidRPr="003A5576">
              <w:t>traitements</w:t>
            </w:r>
            <w:proofErr w:type="spellEnd"/>
            <w:r w:rsidRPr="003A5576">
              <w:t xml:space="preserve"> sur 86 districts </w:t>
            </w:r>
            <w:proofErr w:type="spellStart"/>
            <w:r w:rsidRPr="003A5576">
              <w:t>sanitaires</w:t>
            </w:r>
            <w:proofErr w:type="spellEnd"/>
          </w:p>
          <w:p w14:paraId="18E8DFC9" w14:textId="77777777" w:rsidR="00D2178D" w:rsidRDefault="00D2178D" w:rsidP="00390EA4">
            <w:pPr>
              <w:pStyle w:val="liste1"/>
            </w:pPr>
            <w:proofErr w:type="spellStart"/>
            <w:r w:rsidRPr="003A5576">
              <w:t>Renforcer</w:t>
            </w:r>
            <w:proofErr w:type="spellEnd"/>
            <w:r w:rsidRPr="003A5576">
              <w:t xml:space="preserve"> le cadre de coordination </w:t>
            </w:r>
            <w:proofErr w:type="spellStart"/>
            <w:r w:rsidRPr="003A5576">
              <w:t>en</w:t>
            </w:r>
            <w:proofErr w:type="spellEnd"/>
            <w:r w:rsidRPr="003A5576">
              <w:t xml:space="preserve"> </w:t>
            </w:r>
            <w:proofErr w:type="spellStart"/>
            <w:r w:rsidRPr="003A5576">
              <w:t>intégrant</w:t>
            </w:r>
            <w:proofErr w:type="spellEnd"/>
            <w:r w:rsidRPr="003A5576">
              <w:t xml:space="preserve"> les questions DH et </w:t>
            </w:r>
            <w:proofErr w:type="spellStart"/>
            <w:r w:rsidRPr="003A5576">
              <w:t>accès</w:t>
            </w:r>
            <w:proofErr w:type="spellEnd"/>
            <w:r w:rsidRPr="003A5576">
              <w:t xml:space="preserve"> au </w:t>
            </w:r>
            <w:proofErr w:type="spellStart"/>
            <w:r w:rsidRPr="003A5576">
              <w:t>traitement</w:t>
            </w:r>
            <w:proofErr w:type="spellEnd"/>
          </w:p>
          <w:p w14:paraId="38DDE767" w14:textId="77777777" w:rsidR="00D2178D" w:rsidRDefault="00D2178D" w:rsidP="00390EA4">
            <w:pPr>
              <w:pStyle w:val="liste1"/>
            </w:pPr>
            <w:proofErr w:type="spellStart"/>
            <w:r w:rsidRPr="003A5576">
              <w:t>Organiser</w:t>
            </w:r>
            <w:proofErr w:type="spellEnd"/>
            <w:r w:rsidRPr="003A5576">
              <w:t xml:space="preserve"> </w:t>
            </w:r>
            <w:proofErr w:type="spellStart"/>
            <w:r w:rsidRPr="003A5576">
              <w:t>une</w:t>
            </w:r>
            <w:proofErr w:type="spellEnd"/>
            <w:r w:rsidRPr="003A5576">
              <w:t xml:space="preserve"> </w:t>
            </w:r>
            <w:proofErr w:type="spellStart"/>
            <w:r w:rsidRPr="003A5576">
              <w:t>Campagne</w:t>
            </w:r>
            <w:proofErr w:type="spellEnd"/>
            <w:r w:rsidRPr="003A5576">
              <w:t xml:space="preserve"> de promotion des </w:t>
            </w:r>
            <w:proofErr w:type="spellStart"/>
            <w:r w:rsidRPr="003A5576">
              <w:t>observatoires</w:t>
            </w:r>
            <w:proofErr w:type="spellEnd"/>
            <w:r w:rsidRPr="003A5576">
              <w:t xml:space="preserve"> </w:t>
            </w:r>
            <w:proofErr w:type="spellStart"/>
            <w:r w:rsidRPr="003A5576">
              <w:t>auprès</w:t>
            </w:r>
            <w:proofErr w:type="spellEnd"/>
            <w:r w:rsidRPr="003A5576">
              <w:t xml:space="preserve"> des </w:t>
            </w:r>
            <w:proofErr w:type="spellStart"/>
            <w:r w:rsidRPr="003A5576">
              <w:t>groupes</w:t>
            </w:r>
            <w:proofErr w:type="spellEnd"/>
            <w:r w:rsidRPr="003A5576">
              <w:t xml:space="preserve"> </w:t>
            </w:r>
            <w:proofErr w:type="spellStart"/>
            <w:r w:rsidRPr="003A5576">
              <w:t>cibles</w:t>
            </w:r>
            <w:proofErr w:type="spellEnd"/>
          </w:p>
          <w:p w14:paraId="34033BE7" w14:textId="77777777" w:rsidR="00D2178D" w:rsidRDefault="00D2178D" w:rsidP="00390EA4">
            <w:pPr>
              <w:pStyle w:val="liste1"/>
            </w:pPr>
            <w:proofErr w:type="spellStart"/>
            <w:r w:rsidRPr="003A5576">
              <w:t>Campagne</w:t>
            </w:r>
            <w:proofErr w:type="spellEnd"/>
            <w:r w:rsidRPr="003A5576">
              <w:t xml:space="preserve"> </w:t>
            </w:r>
            <w:proofErr w:type="spellStart"/>
            <w:r w:rsidRPr="003A5576">
              <w:t>publique</w:t>
            </w:r>
            <w:proofErr w:type="spellEnd"/>
            <w:r w:rsidRPr="003A5576">
              <w:t xml:space="preserve"> via les radios </w:t>
            </w:r>
            <w:proofErr w:type="spellStart"/>
            <w:r w:rsidRPr="003A5576">
              <w:t>communautaires</w:t>
            </w:r>
            <w:proofErr w:type="spellEnd"/>
            <w:r w:rsidRPr="003A5576">
              <w:t xml:space="preserve"> pour la </w:t>
            </w:r>
            <w:proofErr w:type="spellStart"/>
            <w:r w:rsidRPr="003A5576">
              <w:t>déconstruction</w:t>
            </w:r>
            <w:proofErr w:type="spellEnd"/>
            <w:r w:rsidRPr="003A5576">
              <w:t xml:space="preserve"> des </w:t>
            </w:r>
            <w:proofErr w:type="spellStart"/>
            <w:r w:rsidRPr="003A5576">
              <w:t>préjugés</w:t>
            </w:r>
            <w:proofErr w:type="spellEnd"/>
            <w:r w:rsidRPr="003A5576">
              <w:t xml:space="preserve"> et le respect des droits </w:t>
            </w:r>
            <w:proofErr w:type="spellStart"/>
            <w:r w:rsidRPr="003A5576">
              <w:t>humains</w:t>
            </w:r>
            <w:proofErr w:type="spellEnd"/>
          </w:p>
          <w:p w14:paraId="7B1DCC74" w14:textId="593474E5" w:rsidR="00D2178D" w:rsidRDefault="00D2178D" w:rsidP="00364810">
            <w:pPr>
              <w:pStyle w:val="liste1"/>
            </w:pPr>
            <w:proofErr w:type="spellStart"/>
            <w:r w:rsidRPr="003A5576">
              <w:t>Organiser</w:t>
            </w:r>
            <w:proofErr w:type="spellEnd"/>
            <w:r w:rsidRPr="003A5576">
              <w:t xml:space="preserve"> des séances de </w:t>
            </w:r>
            <w:proofErr w:type="spellStart"/>
            <w:r w:rsidRPr="003A5576">
              <w:t>renforcement</w:t>
            </w:r>
            <w:proofErr w:type="spellEnd"/>
            <w:r w:rsidRPr="003A5576">
              <w:t xml:space="preserve"> personnel et </w:t>
            </w:r>
            <w:proofErr w:type="spellStart"/>
            <w:r w:rsidRPr="003A5576">
              <w:t>d’estime</w:t>
            </w:r>
            <w:proofErr w:type="spellEnd"/>
            <w:r w:rsidRPr="003A5576">
              <w:t xml:space="preserve"> de </w:t>
            </w:r>
            <w:proofErr w:type="spellStart"/>
            <w:r w:rsidRPr="003A5576">
              <w:t>soi</w:t>
            </w:r>
            <w:proofErr w:type="spellEnd"/>
            <w:r w:rsidRPr="003A5576">
              <w:t xml:space="preserve"> au profit des populations </w:t>
            </w:r>
            <w:proofErr w:type="spellStart"/>
            <w:r w:rsidRPr="003A5576">
              <w:t>clés</w:t>
            </w:r>
            <w:proofErr w:type="spellEnd"/>
            <w:r w:rsidRPr="003A5576">
              <w:t xml:space="preserve"> et des PVVIH</w:t>
            </w:r>
          </w:p>
          <w:p w14:paraId="0E85284D" w14:textId="77777777" w:rsidR="004044B1" w:rsidRDefault="004044B1" w:rsidP="00390EA4">
            <w:pPr>
              <w:pStyle w:val="liste1"/>
              <w:numPr>
                <w:ilvl w:val="0"/>
                <w:numId w:val="0"/>
              </w:numPr>
              <w:ind w:left="360"/>
            </w:pPr>
          </w:p>
          <w:p w14:paraId="41397F8B" w14:textId="0CF56A38" w:rsidR="00D2178D" w:rsidRPr="00472BCC" w:rsidRDefault="00D2178D" w:rsidP="006F6940">
            <w:pPr>
              <w:pStyle w:val="NormalJBGS"/>
              <w:numPr>
                <w:ilvl w:val="0"/>
                <w:numId w:val="41"/>
              </w:numPr>
              <w:jc w:val="both"/>
              <w:rPr>
                <w:rFonts w:cs="Arial"/>
                <w:b/>
                <w:bCs/>
                <w:i w:val="0"/>
                <w:color w:val="404040" w:themeColor="text1"/>
                <w:sz w:val="22"/>
                <w:szCs w:val="22"/>
                <w:lang w:val="fr-FR"/>
              </w:rPr>
            </w:pPr>
            <w:r w:rsidRPr="00472BCC">
              <w:rPr>
                <w:rFonts w:cs="Arial"/>
                <w:b/>
                <w:bCs/>
                <w:i w:val="0"/>
                <w:color w:val="404040" w:themeColor="text1"/>
                <w:sz w:val="22"/>
                <w:szCs w:val="22"/>
                <w:lang w:val="fr-FR"/>
              </w:rPr>
              <w:t>Éducation juridique (« Connaissez vos droits »)</w:t>
            </w:r>
          </w:p>
          <w:p w14:paraId="6C94E074" w14:textId="39839101" w:rsidR="00D2178D" w:rsidRPr="00750CA9" w:rsidRDefault="00D2178D" w:rsidP="00390EA4">
            <w:pPr>
              <w:pStyle w:val="Texteformulaire"/>
              <w:rPr>
                <w:lang w:val="fr-FR"/>
              </w:rPr>
            </w:pPr>
            <w:r w:rsidRPr="00472BCC">
              <w:rPr>
                <w:lang w:val="fr-FR"/>
              </w:rPr>
              <w:t xml:space="preserve">L’accès à </w:t>
            </w:r>
            <w:r w:rsidR="00364810">
              <w:rPr>
                <w:lang w:val="fr-FR"/>
              </w:rPr>
              <w:t xml:space="preserve">la </w:t>
            </w:r>
            <w:r w:rsidRPr="00472BCC">
              <w:rPr>
                <w:lang w:val="fr-FR"/>
              </w:rPr>
              <w:t>justice de</w:t>
            </w:r>
            <w:r w:rsidR="00364810">
              <w:rPr>
                <w:lang w:val="fr-FR"/>
              </w:rPr>
              <w:t xml:space="preserve"> la</w:t>
            </w:r>
            <w:r w:rsidRPr="00472BCC">
              <w:rPr>
                <w:lang w:val="fr-FR"/>
              </w:rPr>
              <w:t xml:space="preserve"> population </w:t>
            </w:r>
            <w:r w:rsidR="00364810">
              <w:rPr>
                <w:lang w:val="fr-FR"/>
              </w:rPr>
              <w:t>g</w:t>
            </w:r>
            <w:r w:rsidRPr="00472BCC">
              <w:rPr>
                <w:lang w:val="fr-FR"/>
              </w:rPr>
              <w:t xml:space="preserve">énérale et plus spécifiquement des populations vulnérables est freiné par </w:t>
            </w:r>
            <w:r w:rsidR="00DD7A94" w:rsidRPr="00472BCC">
              <w:rPr>
                <w:lang w:val="fr-FR"/>
              </w:rPr>
              <w:t xml:space="preserve">certains </w:t>
            </w:r>
            <w:r w:rsidR="00364810">
              <w:rPr>
                <w:lang w:val="fr-FR"/>
              </w:rPr>
              <w:t>déterminants</w:t>
            </w:r>
            <w:r w:rsidR="00364810" w:rsidRPr="00472BCC">
              <w:rPr>
                <w:lang w:val="fr-FR"/>
              </w:rPr>
              <w:t xml:space="preserve"> </w:t>
            </w:r>
            <w:r w:rsidR="00DD7A94" w:rsidRPr="00472BCC">
              <w:rPr>
                <w:lang w:val="fr-FR"/>
              </w:rPr>
              <w:t>relevés</w:t>
            </w:r>
            <w:r w:rsidRPr="00472BCC">
              <w:rPr>
                <w:lang w:val="fr-FR"/>
              </w:rPr>
              <w:t xml:space="preserve"> par l’étude portant analyse du cadre l</w:t>
            </w:r>
            <w:r w:rsidR="00364810">
              <w:rPr>
                <w:lang w:val="fr-FR"/>
              </w:rPr>
              <w:t>é</w:t>
            </w:r>
            <w:r w:rsidRPr="00472BCC">
              <w:rPr>
                <w:lang w:val="fr-FR"/>
              </w:rPr>
              <w:t>gal (LEA)</w:t>
            </w:r>
            <w:r w:rsidR="00364810">
              <w:rPr>
                <w:lang w:val="fr-FR"/>
              </w:rPr>
              <w:t xml:space="preserve"> </w:t>
            </w:r>
            <w:r w:rsidRPr="00472BCC">
              <w:rPr>
                <w:lang w:val="fr-FR"/>
              </w:rPr>
              <w:t>:</w:t>
            </w:r>
            <w:r w:rsidR="00364810">
              <w:rPr>
                <w:lang w:val="fr-FR"/>
              </w:rPr>
              <w:t xml:space="preserve"> </w:t>
            </w:r>
            <w:r w:rsidR="00364810" w:rsidRPr="00750CA9">
              <w:rPr>
                <w:lang w:val="fr-FR"/>
              </w:rPr>
              <w:t>(i) l</w:t>
            </w:r>
            <w:r w:rsidRPr="00750CA9">
              <w:rPr>
                <w:lang w:val="fr-FR"/>
              </w:rPr>
              <w:t xml:space="preserve">a </w:t>
            </w:r>
            <w:r w:rsidR="00364810" w:rsidRPr="00750CA9">
              <w:rPr>
                <w:lang w:val="fr-FR"/>
              </w:rPr>
              <w:t>c</w:t>
            </w:r>
            <w:r w:rsidRPr="00750CA9">
              <w:rPr>
                <w:lang w:val="fr-FR"/>
              </w:rPr>
              <w:t xml:space="preserve">onnaissance insuffisante des mécanismes judiciaires, de la loi et des principes des droits de l’Homme </w:t>
            </w:r>
            <w:r w:rsidR="00364810" w:rsidRPr="00750CA9">
              <w:rPr>
                <w:lang w:val="fr-FR"/>
              </w:rPr>
              <w:t>; et (ii) l</w:t>
            </w:r>
            <w:r w:rsidRPr="00750CA9">
              <w:rPr>
                <w:lang w:val="fr-FR"/>
              </w:rPr>
              <w:t>a lourdeur des procédures administratives et judiciaires</w:t>
            </w:r>
            <w:r w:rsidR="00364810" w:rsidRPr="00750CA9">
              <w:rPr>
                <w:lang w:val="fr-FR"/>
              </w:rPr>
              <w:t>,</w:t>
            </w:r>
            <w:r w:rsidRPr="00750CA9">
              <w:rPr>
                <w:lang w:val="fr-FR"/>
              </w:rPr>
              <w:t xml:space="preserve"> qui décourage les justiciables</w:t>
            </w:r>
            <w:r w:rsidR="00364810" w:rsidRPr="00750CA9">
              <w:rPr>
                <w:lang w:val="fr-FR"/>
              </w:rPr>
              <w:t>.</w:t>
            </w:r>
          </w:p>
          <w:p w14:paraId="2673A2A6" w14:textId="04A3C412" w:rsidR="00D2178D" w:rsidRPr="00472BCC" w:rsidRDefault="00D2178D" w:rsidP="004E1C7A">
            <w:pPr>
              <w:pStyle w:val="Texteformulaire"/>
              <w:rPr>
                <w:lang w:val="fr-FR"/>
              </w:rPr>
            </w:pPr>
            <w:r w:rsidRPr="00472BCC">
              <w:rPr>
                <w:lang w:val="fr-FR"/>
              </w:rPr>
              <w:t>Le NFM2 a permis d</w:t>
            </w:r>
            <w:r w:rsidR="00364810">
              <w:rPr>
                <w:lang w:val="fr-FR"/>
              </w:rPr>
              <w:t xml:space="preserve">’apporter </w:t>
            </w:r>
            <w:r w:rsidRPr="00472BCC">
              <w:rPr>
                <w:lang w:val="fr-FR"/>
              </w:rPr>
              <w:t xml:space="preserve">une réponse </w:t>
            </w:r>
            <w:r w:rsidR="00364810">
              <w:rPr>
                <w:lang w:val="fr-FR"/>
              </w:rPr>
              <w:t xml:space="preserve">concrète </w:t>
            </w:r>
            <w:r w:rsidRPr="00472BCC">
              <w:rPr>
                <w:lang w:val="fr-FR"/>
              </w:rPr>
              <w:t xml:space="preserve">par la réalisation d’activités de consultations juridiques foraines (COJUFOR). Pour la NFM3, il s’agit de déployer cette </w:t>
            </w:r>
            <w:r w:rsidRPr="00472BCC">
              <w:rPr>
                <w:lang w:val="fr-FR"/>
              </w:rPr>
              <w:lastRenderedPageBreak/>
              <w:t xml:space="preserve">activité </w:t>
            </w:r>
            <w:proofErr w:type="spellStart"/>
            <w:r w:rsidRPr="00472BCC">
              <w:rPr>
                <w:lang w:val="fr-FR"/>
              </w:rPr>
              <w:t>au-dela</w:t>
            </w:r>
            <w:proofErr w:type="spellEnd"/>
            <w:r w:rsidRPr="00472BCC">
              <w:rPr>
                <w:lang w:val="fr-FR"/>
              </w:rPr>
              <w:t xml:space="preserve"> des districts de base à </w:t>
            </w:r>
            <w:r w:rsidR="00CE4DE7" w:rsidRPr="00472BCC">
              <w:rPr>
                <w:lang w:val="fr-FR"/>
              </w:rPr>
              <w:t>l’ensemble</w:t>
            </w:r>
            <w:r w:rsidRPr="00472BCC">
              <w:rPr>
                <w:lang w:val="fr-FR"/>
              </w:rPr>
              <w:t xml:space="preserve"> de tous les districts.</w:t>
            </w:r>
            <w:r w:rsidR="00CE4DE7">
              <w:rPr>
                <w:lang w:val="fr-FR"/>
              </w:rPr>
              <w:t xml:space="preserve"> Les principales activités sont :</w:t>
            </w:r>
          </w:p>
          <w:p w14:paraId="3D339259" w14:textId="0B62BE82" w:rsidR="00D2178D" w:rsidRDefault="00D2178D" w:rsidP="00390EA4">
            <w:pPr>
              <w:pStyle w:val="liste1"/>
            </w:pPr>
            <w:proofErr w:type="spellStart"/>
            <w:r w:rsidRPr="00CE4DE7">
              <w:t>Animer</w:t>
            </w:r>
            <w:proofErr w:type="spellEnd"/>
            <w:r w:rsidRPr="00CE4DE7">
              <w:t xml:space="preserve"> 86 sessions de COJUFOR par </w:t>
            </w:r>
            <w:proofErr w:type="gramStart"/>
            <w:r w:rsidRPr="00CE4DE7">
              <w:t>an</w:t>
            </w:r>
            <w:proofErr w:type="gramEnd"/>
            <w:r w:rsidRPr="00CE4DE7">
              <w:t xml:space="preserve"> dans les districts</w:t>
            </w:r>
          </w:p>
          <w:p w14:paraId="7E822437" w14:textId="77777777" w:rsidR="00D2178D" w:rsidRDefault="00D2178D" w:rsidP="00390EA4">
            <w:pPr>
              <w:pStyle w:val="liste1"/>
            </w:pPr>
            <w:proofErr w:type="spellStart"/>
            <w:r w:rsidRPr="00CE4DE7">
              <w:t>Actualiser</w:t>
            </w:r>
            <w:proofErr w:type="spellEnd"/>
            <w:r w:rsidRPr="00CE4DE7">
              <w:t>/</w:t>
            </w:r>
            <w:proofErr w:type="spellStart"/>
            <w:r w:rsidRPr="00CE4DE7">
              <w:t>produire</w:t>
            </w:r>
            <w:proofErr w:type="spellEnd"/>
            <w:r w:rsidRPr="00CE4DE7">
              <w:t xml:space="preserve"> et diffuser des supports de communication sur </w:t>
            </w:r>
            <w:proofErr w:type="spellStart"/>
            <w:r w:rsidRPr="00CE4DE7">
              <w:t>l’aide</w:t>
            </w:r>
            <w:proofErr w:type="spellEnd"/>
            <w:r w:rsidRPr="00CE4DE7">
              <w:t xml:space="preserve"> </w:t>
            </w:r>
            <w:proofErr w:type="spellStart"/>
            <w:r w:rsidRPr="00CE4DE7">
              <w:t>juridique</w:t>
            </w:r>
            <w:proofErr w:type="spellEnd"/>
            <w:r w:rsidRPr="00CE4DE7">
              <w:t xml:space="preserve"> et </w:t>
            </w:r>
            <w:proofErr w:type="spellStart"/>
            <w:r w:rsidRPr="00CE4DE7">
              <w:t>judiciaire</w:t>
            </w:r>
            <w:proofErr w:type="spellEnd"/>
            <w:r w:rsidRPr="00CE4DE7">
              <w:t xml:space="preserve"> aux populations </w:t>
            </w:r>
            <w:proofErr w:type="spellStart"/>
            <w:r w:rsidRPr="00CE4DE7">
              <w:t>clés</w:t>
            </w:r>
            <w:proofErr w:type="spellEnd"/>
            <w:r w:rsidRPr="00CE4DE7">
              <w:t xml:space="preserve"> et </w:t>
            </w:r>
            <w:proofErr w:type="spellStart"/>
            <w:r w:rsidRPr="00CE4DE7">
              <w:t>vulnérables</w:t>
            </w:r>
            <w:proofErr w:type="spellEnd"/>
            <w:r w:rsidRPr="00CE4DE7">
              <w:t xml:space="preserve"> (physique, </w:t>
            </w:r>
            <w:proofErr w:type="spellStart"/>
            <w:r w:rsidRPr="00CE4DE7">
              <w:t>radiophonique</w:t>
            </w:r>
            <w:proofErr w:type="spellEnd"/>
            <w:r w:rsidRPr="00CE4DE7">
              <w:t xml:space="preserve"> et </w:t>
            </w:r>
            <w:proofErr w:type="spellStart"/>
            <w:r w:rsidRPr="00CE4DE7">
              <w:t>numériques</w:t>
            </w:r>
            <w:proofErr w:type="spellEnd"/>
            <w:r w:rsidRPr="00CE4DE7">
              <w:t>)</w:t>
            </w:r>
          </w:p>
          <w:p w14:paraId="61B4418C" w14:textId="1CF354E3" w:rsidR="00D2178D" w:rsidRDefault="00D2178D" w:rsidP="00364810">
            <w:pPr>
              <w:pStyle w:val="liste1"/>
            </w:pPr>
            <w:proofErr w:type="spellStart"/>
            <w:r w:rsidRPr="00CE4DE7">
              <w:t>Organiser</w:t>
            </w:r>
            <w:proofErr w:type="spellEnd"/>
            <w:r w:rsidRPr="00CE4DE7">
              <w:t xml:space="preserve"> 20 sessions </w:t>
            </w:r>
            <w:proofErr w:type="spellStart"/>
            <w:r w:rsidRPr="00CE4DE7">
              <w:t>d’orientation</w:t>
            </w:r>
            <w:proofErr w:type="spellEnd"/>
            <w:r w:rsidRPr="00CE4DE7">
              <w:t xml:space="preserve"> (3jrs) des </w:t>
            </w:r>
            <w:proofErr w:type="spellStart"/>
            <w:r w:rsidRPr="00CE4DE7">
              <w:t>éducateurs</w:t>
            </w:r>
            <w:proofErr w:type="spellEnd"/>
            <w:r w:rsidRPr="00CE4DE7">
              <w:t xml:space="preserve"> de pairs et des </w:t>
            </w:r>
            <w:proofErr w:type="spellStart"/>
            <w:r w:rsidRPr="00CE4DE7">
              <w:t>conseillers</w:t>
            </w:r>
            <w:proofErr w:type="spellEnd"/>
            <w:r w:rsidRPr="00CE4DE7">
              <w:t xml:space="preserve"> </w:t>
            </w:r>
            <w:proofErr w:type="spellStart"/>
            <w:r w:rsidRPr="00CE4DE7">
              <w:t>communautaires</w:t>
            </w:r>
            <w:proofErr w:type="spellEnd"/>
            <w:r w:rsidRPr="00CE4DE7">
              <w:t xml:space="preserve"> issues des ONG </w:t>
            </w:r>
            <w:proofErr w:type="spellStart"/>
            <w:r w:rsidRPr="00CE4DE7">
              <w:t>impliquées</w:t>
            </w:r>
            <w:proofErr w:type="spellEnd"/>
            <w:r w:rsidRPr="00CE4DE7">
              <w:t xml:space="preserve"> dans la </w:t>
            </w:r>
            <w:proofErr w:type="spellStart"/>
            <w:r w:rsidRPr="00CE4DE7">
              <w:t>prévention</w:t>
            </w:r>
            <w:proofErr w:type="spellEnd"/>
            <w:r w:rsidRPr="00CE4DE7">
              <w:t xml:space="preserve"> et la </w:t>
            </w:r>
            <w:proofErr w:type="spellStart"/>
            <w:r w:rsidRPr="00CE4DE7">
              <w:t>prise</w:t>
            </w:r>
            <w:proofErr w:type="spellEnd"/>
            <w:r w:rsidRPr="00CE4DE7">
              <w:t xml:space="preserve"> </w:t>
            </w:r>
            <w:proofErr w:type="spellStart"/>
            <w:r w:rsidRPr="00CE4DE7">
              <w:t>en</w:t>
            </w:r>
            <w:proofErr w:type="spellEnd"/>
            <w:r w:rsidRPr="00CE4DE7">
              <w:t xml:space="preserve"> charge des populations </w:t>
            </w:r>
            <w:proofErr w:type="spellStart"/>
            <w:r w:rsidRPr="00CE4DE7">
              <w:t>clés</w:t>
            </w:r>
            <w:proofErr w:type="spellEnd"/>
            <w:r w:rsidRPr="00CE4DE7">
              <w:t xml:space="preserve">, des </w:t>
            </w:r>
            <w:proofErr w:type="spellStart"/>
            <w:r w:rsidRPr="00CE4DE7">
              <w:t>transgenres</w:t>
            </w:r>
            <w:proofErr w:type="spellEnd"/>
            <w:r w:rsidRPr="00CE4DE7">
              <w:t xml:space="preserve"> et des </w:t>
            </w:r>
            <w:proofErr w:type="spellStart"/>
            <w:r w:rsidRPr="00CE4DE7">
              <w:t>personnes</w:t>
            </w:r>
            <w:proofErr w:type="spellEnd"/>
            <w:r w:rsidRPr="00CE4DE7">
              <w:t xml:space="preserve"> vivant avec le VIH sur les </w:t>
            </w:r>
            <w:proofErr w:type="spellStart"/>
            <w:r w:rsidRPr="00CE4DE7">
              <w:t>violences</w:t>
            </w:r>
            <w:proofErr w:type="spellEnd"/>
            <w:r w:rsidRPr="00CE4DE7">
              <w:t xml:space="preserve"> </w:t>
            </w:r>
            <w:proofErr w:type="spellStart"/>
            <w:r w:rsidRPr="00CE4DE7">
              <w:t>basées</w:t>
            </w:r>
            <w:proofErr w:type="spellEnd"/>
            <w:r w:rsidRPr="00CE4DE7">
              <w:t xml:space="preserve"> sur le genre, les droits </w:t>
            </w:r>
            <w:proofErr w:type="spellStart"/>
            <w:r w:rsidRPr="00CE4DE7">
              <w:t>humains</w:t>
            </w:r>
            <w:proofErr w:type="spellEnd"/>
            <w:r w:rsidRPr="00CE4DE7">
              <w:t xml:space="preserve"> </w:t>
            </w:r>
            <w:proofErr w:type="spellStart"/>
            <w:r w:rsidRPr="00CE4DE7">
              <w:t>en</w:t>
            </w:r>
            <w:proofErr w:type="spellEnd"/>
            <w:r w:rsidRPr="00CE4DE7">
              <w:t xml:space="preserve"> lien avec le VIH et les </w:t>
            </w:r>
            <w:proofErr w:type="spellStart"/>
            <w:r w:rsidRPr="00CE4DE7">
              <w:t>recours</w:t>
            </w:r>
            <w:proofErr w:type="spellEnd"/>
            <w:r w:rsidRPr="00CE4DE7">
              <w:t xml:space="preserve"> </w:t>
            </w:r>
            <w:proofErr w:type="spellStart"/>
            <w:r w:rsidRPr="00CE4DE7">
              <w:t>en</w:t>
            </w:r>
            <w:proofErr w:type="spellEnd"/>
            <w:r w:rsidRPr="00CE4DE7">
              <w:t xml:space="preserve"> </w:t>
            </w:r>
            <w:proofErr w:type="spellStart"/>
            <w:r w:rsidRPr="00CE4DE7">
              <w:t>cas</w:t>
            </w:r>
            <w:proofErr w:type="spellEnd"/>
            <w:r w:rsidRPr="00CE4DE7">
              <w:t xml:space="preserve"> de violation</w:t>
            </w:r>
            <w:r w:rsidR="00364810">
              <w:t>.</w:t>
            </w:r>
          </w:p>
          <w:p w14:paraId="3E0C4F6C" w14:textId="77777777" w:rsidR="00364810" w:rsidRPr="00CE4DE7" w:rsidRDefault="00364810" w:rsidP="00390EA4">
            <w:pPr>
              <w:pStyle w:val="liste1"/>
              <w:numPr>
                <w:ilvl w:val="0"/>
                <w:numId w:val="0"/>
              </w:numPr>
              <w:ind w:left="360"/>
            </w:pPr>
          </w:p>
          <w:p w14:paraId="5B438388" w14:textId="3A09D2CE" w:rsidR="00D2178D" w:rsidRPr="00472BCC" w:rsidRDefault="00D2178D" w:rsidP="006F6940">
            <w:pPr>
              <w:pStyle w:val="NormalJBGS"/>
              <w:numPr>
                <w:ilvl w:val="0"/>
                <w:numId w:val="41"/>
              </w:numPr>
              <w:jc w:val="both"/>
              <w:rPr>
                <w:rFonts w:cs="Arial"/>
                <w:b/>
                <w:bCs/>
                <w:i w:val="0"/>
                <w:color w:val="404040" w:themeColor="text1"/>
                <w:sz w:val="22"/>
                <w:szCs w:val="22"/>
                <w:lang w:val="fr-FR"/>
              </w:rPr>
            </w:pPr>
            <w:r w:rsidRPr="00472BCC">
              <w:rPr>
                <w:rFonts w:cs="Arial"/>
                <w:b/>
                <w:bCs/>
                <w:i w:val="0"/>
                <w:color w:val="404040" w:themeColor="text1"/>
                <w:sz w:val="22"/>
                <w:szCs w:val="22"/>
                <w:lang w:val="fr-FR"/>
              </w:rPr>
              <w:t>Droits humains et éthique médicale liée au VIH et à la co-infection VIH/tuberculose pour les prestataires de soins de santé</w:t>
            </w:r>
          </w:p>
          <w:p w14:paraId="6BE203F9" w14:textId="6B209867" w:rsidR="00A116B2" w:rsidRDefault="00D2178D" w:rsidP="004E1C7A">
            <w:pPr>
              <w:pStyle w:val="Texteformulaire"/>
              <w:rPr>
                <w:lang w:val="fr-FR"/>
              </w:rPr>
            </w:pPr>
            <w:r w:rsidRPr="00472BCC">
              <w:rPr>
                <w:lang w:val="fr-FR"/>
              </w:rPr>
              <w:t xml:space="preserve">Les études révèlent </w:t>
            </w:r>
            <w:r w:rsidR="00364810">
              <w:rPr>
                <w:lang w:val="fr-FR"/>
              </w:rPr>
              <w:t xml:space="preserve">la </w:t>
            </w:r>
            <w:proofErr w:type="spellStart"/>
            <w:r w:rsidR="00364810">
              <w:rPr>
                <w:lang w:val="fr-FR"/>
              </w:rPr>
              <w:t>persistence</w:t>
            </w:r>
            <w:proofErr w:type="spellEnd"/>
            <w:r w:rsidR="00364810">
              <w:rPr>
                <w:lang w:val="fr-FR"/>
              </w:rPr>
              <w:t xml:space="preserve"> de violations des droits des bénéficiaires par des prestataires de soins de santé</w:t>
            </w:r>
            <w:r w:rsidR="00A116B2">
              <w:rPr>
                <w:lang w:val="fr-FR"/>
              </w:rPr>
              <w:t>, souvent</w:t>
            </w:r>
            <w:r w:rsidRPr="00472BCC">
              <w:rPr>
                <w:lang w:val="fr-FR"/>
              </w:rPr>
              <w:t xml:space="preserve"> liées à la méconnaissance </w:t>
            </w:r>
            <w:r w:rsidR="00364810">
              <w:rPr>
                <w:lang w:val="fr-FR"/>
              </w:rPr>
              <w:t xml:space="preserve">par </w:t>
            </w:r>
            <w:r w:rsidR="00A116B2">
              <w:rPr>
                <w:lang w:val="fr-FR"/>
              </w:rPr>
              <w:t>c</w:t>
            </w:r>
            <w:r w:rsidR="00364810">
              <w:rPr>
                <w:lang w:val="fr-FR"/>
              </w:rPr>
              <w:t>es professionnels</w:t>
            </w:r>
            <w:r w:rsidRPr="00472BCC">
              <w:rPr>
                <w:lang w:val="fr-FR"/>
              </w:rPr>
              <w:t xml:space="preserve"> des droits humains et de l’éthique médicale. Ces faits découragent certain</w:t>
            </w:r>
            <w:r w:rsidR="00A116B2">
              <w:rPr>
                <w:lang w:val="fr-FR"/>
              </w:rPr>
              <w:t xml:space="preserve">s bénéficiaires </w:t>
            </w:r>
            <w:r w:rsidRPr="00472BCC">
              <w:rPr>
                <w:lang w:val="fr-FR"/>
              </w:rPr>
              <w:t xml:space="preserve">d’entrer et de rester durablement dans le circuit </w:t>
            </w:r>
            <w:r w:rsidR="00A116B2">
              <w:rPr>
                <w:lang w:val="fr-FR"/>
              </w:rPr>
              <w:t xml:space="preserve">de soins. </w:t>
            </w:r>
          </w:p>
          <w:p w14:paraId="4819D2EB" w14:textId="412CEE29" w:rsidR="00D2178D" w:rsidRPr="005F0648" w:rsidRDefault="005F0648" w:rsidP="004E1C7A">
            <w:pPr>
              <w:pStyle w:val="Texteformulaire"/>
              <w:rPr>
                <w:lang w:val="fr-FR"/>
              </w:rPr>
            </w:pPr>
            <w:r w:rsidRPr="005F0648">
              <w:rPr>
                <w:color w:val="000000"/>
                <w:lang w:val="fr-FR"/>
              </w:rPr>
              <w:t xml:space="preserve">Les principales activités </w:t>
            </w:r>
            <w:r w:rsidR="00A116B2">
              <w:rPr>
                <w:color w:val="000000"/>
                <w:lang w:val="fr-FR"/>
              </w:rPr>
              <w:t xml:space="preserve">prévues </w:t>
            </w:r>
            <w:r w:rsidRPr="005F0648">
              <w:rPr>
                <w:color w:val="000000"/>
                <w:lang w:val="fr-FR"/>
              </w:rPr>
              <w:t>sont :</w:t>
            </w:r>
          </w:p>
          <w:p w14:paraId="4B0FFA4C" w14:textId="77777777" w:rsidR="005F0648" w:rsidRDefault="00D2178D" w:rsidP="00390EA4">
            <w:pPr>
              <w:pStyle w:val="liste1"/>
            </w:pPr>
            <w:proofErr w:type="spellStart"/>
            <w:r w:rsidRPr="005F0648">
              <w:t>Mener</w:t>
            </w:r>
            <w:proofErr w:type="spellEnd"/>
            <w:r w:rsidRPr="005F0648">
              <w:t xml:space="preserve"> un plaidoyer </w:t>
            </w:r>
            <w:proofErr w:type="spellStart"/>
            <w:r w:rsidRPr="005F0648">
              <w:t>en</w:t>
            </w:r>
            <w:proofErr w:type="spellEnd"/>
            <w:r w:rsidRPr="005F0648">
              <w:t xml:space="preserve"> direction des </w:t>
            </w:r>
            <w:proofErr w:type="spellStart"/>
            <w:r w:rsidRPr="005F0648">
              <w:t>Ministères</w:t>
            </w:r>
            <w:proofErr w:type="spellEnd"/>
            <w:r w:rsidRPr="005F0648">
              <w:t xml:space="preserve"> techniques, </w:t>
            </w:r>
            <w:proofErr w:type="spellStart"/>
            <w:r w:rsidRPr="005F0648">
              <w:t>Universités</w:t>
            </w:r>
            <w:proofErr w:type="spellEnd"/>
            <w:r w:rsidRPr="005F0648">
              <w:t xml:space="preserve">, UFR des sciences </w:t>
            </w:r>
            <w:proofErr w:type="spellStart"/>
            <w:r w:rsidRPr="005F0648">
              <w:t>médicales</w:t>
            </w:r>
            <w:proofErr w:type="spellEnd"/>
            <w:r w:rsidRPr="005F0648">
              <w:t xml:space="preserve">, de </w:t>
            </w:r>
            <w:proofErr w:type="spellStart"/>
            <w:r w:rsidRPr="005F0648">
              <w:t>l'INFAS</w:t>
            </w:r>
            <w:proofErr w:type="spellEnd"/>
            <w:r w:rsidRPr="005F0648">
              <w:t xml:space="preserve"> et </w:t>
            </w:r>
            <w:proofErr w:type="spellStart"/>
            <w:r w:rsidRPr="005F0648">
              <w:t>l’INFES</w:t>
            </w:r>
            <w:proofErr w:type="spellEnd"/>
            <w:r w:rsidRPr="005F0648">
              <w:t xml:space="preserve"> pour </w:t>
            </w:r>
            <w:proofErr w:type="spellStart"/>
            <w:r w:rsidRPr="005F0648">
              <w:t>l’intégration</w:t>
            </w:r>
            <w:proofErr w:type="spellEnd"/>
            <w:r w:rsidRPr="005F0648">
              <w:t xml:space="preserve"> de modules </w:t>
            </w:r>
            <w:proofErr w:type="spellStart"/>
            <w:r w:rsidRPr="005F0648">
              <w:t>spécifiques</w:t>
            </w:r>
            <w:proofErr w:type="spellEnd"/>
            <w:r w:rsidRPr="005F0648">
              <w:t xml:space="preserve"> sur les droits des populations </w:t>
            </w:r>
            <w:proofErr w:type="spellStart"/>
            <w:r w:rsidRPr="005F0648">
              <w:t>hautement</w:t>
            </w:r>
            <w:proofErr w:type="spellEnd"/>
            <w:r w:rsidRPr="005F0648">
              <w:t xml:space="preserve"> </w:t>
            </w:r>
            <w:proofErr w:type="spellStart"/>
            <w:r w:rsidRPr="005F0648">
              <w:t>vulnérables</w:t>
            </w:r>
            <w:proofErr w:type="spellEnd"/>
            <w:r w:rsidRPr="005F0648">
              <w:t xml:space="preserve"> dans les curricula de formation</w:t>
            </w:r>
          </w:p>
          <w:p w14:paraId="7ACDDC5A" w14:textId="15ECFDBA" w:rsidR="00D2178D" w:rsidRDefault="00D2178D" w:rsidP="00390EA4">
            <w:pPr>
              <w:pStyle w:val="liste1"/>
            </w:pPr>
            <w:r w:rsidRPr="005F0648">
              <w:t xml:space="preserve"> </w:t>
            </w:r>
            <w:proofErr w:type="spellStart"/>
            <w:r w:rsidRPr="005F0648">
              <w:t>Organiser</w:t>
            </w:r>
            <w:proofErr w:type="spellEnd"/>
            <w:r w:rsidRPr="005F0648">
              <w:t xml:space="preserve"> 10 sessions </w:t>
            </w:r>
            <w:proofErr w:type="spellStart"/>
            <w:r w:rsidRPr="005F0648">
              <w:t>d'orientation</w:t>
            </w:r>
            <w:proofErr w:type="spellEnd"/>
            <w:r w:rsidRPr="005F0648">
              <w:t>/</w:t>
            </w:r>
            <w:proofErr w:type="gramStart"/>
            <w:r w:rsidRPr="005F0648">
              <w:t>an</w:t>
            </w:r>
            <w:proofErr w:type="gramEnd"/>
            <w:r w:rsidRPr="005F0648">
              <w:t xml:space="preserve"> pour les </w:t>
            </w:r>
            <w:proofErr w:type="spellStart"/>
            <w:r w:rsidRPr="005F0648">
              <w:t>étudiants</w:t>
            </w:r>
            <w:proofErr w:type="spellEnd"/>
            <w:r w:rsidRPr="005F0648">
              <w:t xml:space="preserve"> </w:t>
            </w:r>
            <w:proofErr w:type="spellStart"/>
            <w:r w:rsidRPr="005F0648">
              <w:t>en</w:t>
            </w:r>
            <w:proofErr w:type="spellEnd"/>
            <w:r w:rsidRPr="005F0648">
              <w:t xml:space="preserve"> fin de cycle des UFR des sciences </w:t>
            </w:r>
            <w:proofErr w:type="spellStart"/>
            <w:r w:rsidRPr="005F0648">
              <w:t>médicales</w:t>
            </w:r>
            <w:proofErr w:type="spellEnd"/>
            <w:r w:rsidRPr="005F0648">
              <w:t xml:space="preserve">, de </w:t>
            </w:r>
            <w:proofErr w:type="spellStart"/>
            <w:r w:rsidRPr="005F0648">
              <w:t>l'INFAS</w:t>
            </w:r>
            <w:proofErr w:type="spellEnd"/>
            <w:r w:rsidRPr="005F0648">
              <w:t xml:space="preserve">, institutions de formation des </w:t>
            </w:r>
            <w:proofErr w:type="spellStart"/>
            <w:r w:rsidRPr="005F0648">
              <w:t>intervenants</w:t>
            </w:r>
            <w:proofErr w:type="spellEnd"/>
            <w:r w:rsidRPr="005F0648">
              <w:t xml:space="preserve"> </w:t>
            </w:r>
            <w:proofErr w:type="spellStart"/>
            <w:r w:rsidRPr="005F0648">
              <w:t>sociaux</w:t>
            </w:r>
            <w:proofErr w:type="spellEnd"/>
            <w:r w:rsidRPr="005F0648">
              <w:t xml:space="preserve">, Ecole Normal </w:t>
            </w:r>
            <w:proofErr w:type="spellStart"/>
            <w:r w:rsidRPr="005F0648">
              <w:t>Supérieur</w:t>
            </w:r>
            <w:proofErr w:type="spellEnd"/>
            <w:r w:rsidRPr="005F0648">
              <w:t xml:space="preserve"> </w:t>
            </w:r>
            <w:proofErr w:type="spellStart"/>
            <w:r w:rsidRPr="005F0648">
              <w:t>d’Education</w:t>
            </w:r>
            <w:proofErr w:type="spellEnd"/>
            <w:r w:rsidRPr="005F0648">
              <w:t xml:space="preserve"> Permanente</w:t>
            </w:r>
          </w:p>
          <w:p w14:paraId="468B60A8" w14:textId="77777777" w:rsidR="00D2178D" w:rsidRDefault="00D2178D" w:rsidP="00390EA4">
            <w:pPr>
              <w:pStyle w:val="liste1"/>
            </w:pPr>
            <w:proofErr w:type="spellStart"/>
            <w:r w:rsidRPr="005F0648">
              <w:t>Organiser</w:t>
            </w:r>
            <w:proofErr w:type="spellEnd"/>
            <w:r w:rsidRPr="005F0648">
              <w:t xml:space="preserve"> un atelier de formation des </w:t>
            </w:r>
            <w:proofErr w:type="spellStart"/>
            <w:r w:rsidRPr="005F0648">
              <w:t>formateurs</w:t>
            </w:r>
            <w:proofErr w:type="spellEnd"/>
            <w:r w:rsidRPr="005F0648">
              <w:t xml:space="preserve">, </w:t>
            </w:r>
            <w:proofErr w:type="spellStart"/>
            <w:r w:rsidRPr="005F0648">
              <w:t>professionnels</w:t>
            </w:r>
            <w:proofErr w:type="spellEnd"/>
            <w:r w:rsidRPr="005F0648">
              <w:t xml:space="preserve"> du </w:t>
            </w:r>
            <w:proofErr w:type="spellStart"/>
            <w:r w:rsidRPr="005F0648">
              <w:t>parcours</w:t>
            </w:r>
            <w:proofErr w:type="spellEnd"/>
            <w:r w:rsidRPr="005F0648">
              <w:t xml:space="preserve"> de </w:t>
            </w:r>
            <w:proofErr w:type="spellStart"/>
            <w:r w:rsidRPr="005F0648">
              <w:t>soins</w:t>
            </w:r>
            <w:proofErr w:type="spellEnd"/>
            <w:r w:rsidRPr="005F0648">
              <w:t xml:space="preserve"> </w:t>
            </w:r>
            <w:proofErr w:type="spellStart"/>
            <w:r w:rsidRPr="005F0648">
              <w:t>en</w:t>
            </w:r>
            <w:proofErr w:type="spellEnd"/>
            <w:r w:rsidRPr="005F0648">
              <w:t xml:space="preserve"> droits </w:t>
            </w:r>
            <w:proofErr w:type="spellStart"/>
            <w:r w:rsidRPr="005F0648">
              <w:t>humains</w:t>
            </w:r>
            <w:proofErr w:type="spellEnd"/>
            <w:r w:rsidRPr="005F0648">
              <w:t xml:space="preserve"> et </w:t>
            </w:r>
            <w:proofErr w:type="spellStart"/>
            <w:r w:rsidRPr="005F0648">
              <w:t>éthique</w:t>
            </w:r>
            <w:proofErr w:type="spellEnd"/>
            <w:r w:rsidRPr="005F0648">
              <w:t xml:space="preserve"> </w:t>
            </w:r>
            <w:proofErr w:type="spellStart"/>
            <w:r w:rsidRPr="005F0648">
              <w:t>médicale</w:t>
            </w:r>
            <w:proofErr w:type="spellEnd"/>
          </w:p>
          <w:p w14:paraId="11F2A56D" w14:textId="77777777" w:rsidR="00A116B2" w:rsidRDefault="00D2178D" w:rsidP="00A116B2">
            <w:pPr>
              <w:pStyle w:val="liste1"/>
            </w:pPr>
            <w:proofErr w:type="spellStart"/>
            <w:r w:rsidRPr="005F0648">
              <w:t>Organiser</w:t>
            </w:r>
            <w:proofErr w:type="spellEnd"/>
            <w:r w:rsidRPr="005F0648">
              <w:t xml:space="preserve"> des orientations sur les sites de </w:t>
            </w:r>
            <w:proofErr w:type="spellStart"/>
            <w:r w:rsidRPr="005F0648">
              <w:t>prise</w:t>
            </w:r>
            <w:proofErr w:type="spellEnd"/>
            <w:r w:rsidRPr="005F0648">
              <w:t xml:space="preserve"> </w:t>
            </w:r>
            <w:proofErr w:type="spellStart"/>
            <w:r w:rsidRPr="005F0648">
              <w:t>en</w:t>
            </w:r>
            <w:proofErr w:type="spellEnd"/>
            <w:r w:rsidRPr="005F0648">
              <w:t xml:space="preserve"> charge, des </w:t>
            </w:r>
            <w:proofErr w:type="spellStart"/>
            <w:r w:rsidRPr="005F0648">
              <w:t>acteurs</w:t>
            </w:r>
            <w:proofErr w:type="spellEnd"/>
            <w:r w:rsidRPr="005F0648">
              <w:t xml:space="preserve"> du </w:t>
            </w:r>
            <w:proofErr w:type="spellStart"/>
            <w:r w:rsidRPr="005F0648">
              <w:t>parcours</w:t>
            </w:r>
            <w:proofErr w:type="spellEnd"/>
            <w:r w:rsidRPr="005F0648">
              <w:t xml:space="preserve"> de santé sur les DH et </w:t>
            </w:r>
            <w:proofErr w:type="spellStart"/>
            <w:r w:rsidRPr="005F0648">
              <w:t>l'éthique</w:t>
            </w:r>
            <w:proofErr w:type="spellEnd"/>
          </w:p>
          <w:p w14:paraId="6C07DF86" w14:textId="4401BE69" w:rsidR="00D2178D" w:rsidRPr="005F0648" w:rsidRDefault="00D2178D" w:rsidP="00390EA4">
            <w:pPr>
              <w:pStyle w:val="liste1"/>
              <w:numPr>
                <w:ilvl w:val="0"/>
                <w:numId w:val="0"/>
              </w:numPr>
              <w:ind w:left="360"/>
            </w:pPr>
            <w:r w:rsidRPr="005F0648">
              <w:t xml:space="preserve"> </w:t>
            </w:r>
          </w:p>
          <w:p w14:paraId="0517175D" w14:textId="77777777" w:rsidR="00D2178D" w:rsidRPr="00472BCC" w:rsidRDefault="00D2178D" w:rsidP="006F6940">
            <w:pPr>
              <w:pStyle w:val="NormalJBGS"/>
              <w:numPr>
                <w:ilvl w:val="0"/>
                <w:numId w:val="41"/>
              </w:numPr>
              <w:jc w:val="both"/>
              <w:rPr>
                <w:rFonts w:cs="Arial"/>
                <w:b/>
                <w:bCs/>
                <w:i w:val="0"/>
                <w:color w:val="404040" w:themeColor="text1"/>
                <w:sz w:val="22"/>
                <w:szCs w:val="22"/>
                <w:lang w:val="fr-FR"/>
              </w:rPr>
            </w:pPr>
            <w:r w:rsidRPr="00472BCC">
              <w:rPr>
                <w:rFonts w:cs="Arial"/>
                <w:b/>
                <w:bCs/>
                <w:i w:val="0"/>
                <w:color w:val="404040" w:themeColor="text1"/>
                <w:sz w:val="22"/>
                <w:szCs w:val="22"/>
                <w:lang w:val="fr-FR"/>
              </w:rPr>
              <w:t>Services juridiques liés au VIH et à la co-infection VIH/tuberculose</w:t>
            </w:r>
          </w:p>
          <w:p w14:paraId="1E262FF6" w14:textId="313DCF6D" w:rsidR="00A116B2" w:rsidRPr="00750CA9" w:rsidRDefault="00D2178D" w:rsidP="00A116B2">
            <w:pPr>
              <w:pStyle w:val="Texteformulaire"/>
              <w:rPr>
                <w:lang w:val="fr-FR"/>
              </w:rPr>
            </w:pPr>
            <w:r w:rsidRPr="00750CA9">
              <w:rPr>
                <w:lang w:val="fr-FR"/>
              </w:rPr>
              <w:t>La disponibilité des services juridiques et leur répartition sur l’ensemble du territoire est à consolider. Le NFM2 a proposé un mécanisme communautaire de prise en charge juridique et judiciaire des cas de violation des DH. Mais des insuffisances demeurent toujours dans la mise en œuvre de ce mécanisme notamment du</w:t>
            </w:r>
            <w:r w:rsidR="005B13C4">
              <w:rPr>
                <w:lang w:val="fr-FR"/>
              </w:rPr>
              <w:t>es aux</w:t>
            </w:r>
            <w:r w:rsidR="00AC5E35">
              <w:rPr>
                <w:lang w:val="fr-FR"/>
              </w:rPr>
              <w:t xml:space="preserve"> difficultés que rencontrent fré</w:t>
            </w:r>
            <w:r w:rsidR="005B13C4">
              <w:rPr>
                <w:lang w:val="fr-FR"/>
              </w:rPr>
              <w:t>quemment les parajuristes pour</w:t>
            </w:r>
            <w:r w:rsidRPr="00750CA9">
              <w:rPr>
                <w:lang w:val="fr-FR"/>
              </w:rPr>
              <w:t xml:space="preserve"> conclure</w:t>
            </w:r>
            <w:r w:rsidR="005B13C4">
              <w:rPr>
                <w:lang w:val="fr-FR"/>
              </w:rPr>
              <w:t xml:space="preserve"> des</w:t>
            </w:r>
            <w:r w:rsidRPr="00750CA9">
              <w:rPr>
                <w:lang w:val="fr-FR"/>
              </w:rPr>
              <w:t xml:space="preserve"> investigation</w:t>
            </w:r>
            <w:r w:rsidR="005B13C4">
              <w:rPr>
                <w:lang w:val="fr-FR"/>
              </w:rPr>
              <w:t>s</w:t>
            </w:r>
            <w:r w:rsidRPr="00750CA9">
              <w:rPr>
                <w:lang w:val="fr-FR"/>
              </w:rPr>
              <w:t xml:space="preserve"> de qualité.</w:t>
            </w:r>
            <w:r w:rsidR="005F0648" w:rsidRPr="00750CA9">
              <w:rPr>
                <w:lang w:val="fr-FR"/>
              </w:rPr>
              <w:t xml:space="preserve"> </w:t>
            </w:r>
          </w:p>
          <w:p w14:paraId="19494216" w14:textId="73B981B1" w:rsidR="00D2178D" w:rsidRPr="00472BCC" w:rsidRDefault="005F0648" w:rsidP="00390EA4">
            <w:pPr>
              <w:pStyle w:val="Texteformulaire"/>
            </w:pPr>
            <w:r>
              <w:rPr>
                <w:color w:val="000000"/>
              </w:rPr>
              <w:t xml:space="preserve">Les </w:t>
            </w:r>
            <w:proofErr w:type="spellStart"/>
            <w:r>
              <w:rPr>
                <w:color w:val="000000"/>
              </w:rPr>
              <w:t>principales</w:t>
            </w:r>
            <w:proofErr w:type="spellEnd"/>
            <w:r>
              <w:rPr>
                <w:color w:val="000000"/>
              </w:rPr>
              <w:t xml:space="preserve"> </w:t>
            </w:r>
            <w:proofErr w:type="spellStart"/>
            <w:r>
              <w:rPr>
                <w:color w:val="000000"/>
              </w:rPr>
              <w:t>activités</w:t>
            </w:r>
            <w:proofErr w:type="spellEnd"/>
            <w:r>
              <w:rPr>
                <w:color w:val="000000"/>
              </w:rPr>
              <w:t xml:space="preserve"> </w:t>
            </w:r>
            <w:proofErr w:type="spellStart"/>
            <w:proofErr w:type="gramStart"/>
            <w:r>
              <w:rPr>
                <w:color w:val="000000"/>
              </w:rPr>
              <w:t>sont</w:t>
            </w:r>
            <w:proofErr w:type="spellEnd"/>
            <w:r>
              <w:rPr>
                <w:color w:val="000000"/>
              </w:rPr>
              <w:t> :</w:t>
            </w:r>
            <w:proofErr w:type="gramEnd"/>
          </w:p>
          <w:p w14:paraId="01A4D8A0" w14:textId="6C13E616" w:rsidR="00D2178D" w:rsidRDefault="00D2178D" w:rsidP="00390EA4">
            <w:pPr>
              <w:pStyle w:val="liste1"/>
            </w:pPr>
            <w:proofErr w:type="spellStart"/>
            <w:r w:rsidRPr="005F0648">
              <w:t>Mettre</w:t>
            </w:r>
            <w:proofErr w:type="spellEnd"/>
            <w:r w:rsidRPr="005F0648">
              <w:t xml:space="preserve"> </w:t>
            </w:r>
            <w:proofErr w:type="spellStart"/>
            <w:r w:rsidRPr="005F0648">
              <w:t>en</w:t>
            </w:r>
            <w:proofErr w:type="spellEnd"/>
            <w:r w:rsidRPr="005F0648">
              <w:t xml:space="preserve"> place un </w:t>
            </w:r>
            <w:proofErr w:type="spellStart"/>
            <w:r w:rsidRPr="005F0648">
              <w:t>algorithme</w:t>
            </w:r>
            <w:proofErr w:type="spellEnd"/>
            <w:r w:rsidRPr="005F0648">
              <w:t xml:space="preserve"> pour la </w:t>
            </w:r>
            <w:proofErr w:type="spellStart"/>
            <w:r w:rsidRPr="005F0648">
              <w:t>prise</w:t>
            </w:r>
            <w:proofErr w:type="spellEnd"/>
            <w:r w:rsidRPr="005F0648">
              <w:t xml:space="preserve"> </w:t>
            </w:r>
            <w:proofErr w:type="spellStart"/>
            <w:r w:rsidRPr="005F0648">
              <w:t>en</w:t>
            </w:r>
            <w:proofErr w:type="spellEnd"/>
            <w:r w:rsidRPr="005F0648">
              <w:t xml:space="preserve"> charge </w:t>
            </w:r>
            <w:proofErr w:type="spellStart"/>
            <w:r w:rsidRPr="005F0648">
              <w:t>juridique</w:t>
            </w:r>
            <w:proofErr w:type="spellEnd"/>
            <w:r w:rsidRPr="005F0648">
              <w:t xml:space="preserve"> et </w:t>
            </w:r>
            <w:proofErr w:type="spellStart"/>
            <w:r w:rsidRPr="005F0648">
              <w:t>judiciaire</w:t>
            </w:r>
            <w:proofErr w:type="spellEnd"/>
            <w:r w:rsidRPr="005F0648">
              <w:t xml:space="preserve"> des populations </w:t>
            </w:r>
            <w:proofErr w:type="spellStart"/>
            <w:r w:rsidRPr="005F0648">
              <w:t>clés</w:t>
            </w:r>
            <w:proofErr w:type="spellEnd"/>
            <w:r w:rsidRPr="005F0648">
              <w:t xml:space="preserve"> et des PVVIH</w:t>
            </w:r>
          </w:p>
          <w:p w14:paraId="2C1734E3" w14:textId="77777777" w:rsidR="00D2178D" w:rsidRPr="005F0648" w:rsidRDefault="00D2178D" w:rsidP="00390EA4">
            <w:pPr>
              <w:pStyle w:val="liste1"/>
            </w:pPr>
            <w:proofErr w:type="spellStart"/>
            <w:r w:rsidRPr="005F0648">
              <w:rPr>
                <w:color w:val="404040" w:themeColor="text1"/>
              </w:rPr>
              <w:t>Confier</w:t>
            </w:r>
            <w:proofErr w:type="spellEnd"/>
            <w:r w:rsidRPr="005F0648">
              <w:rPr>
                <w:color w:val="404040" w:themeColor="text1"/>
              </w:rPr>
              <w:t xml:space="preserve"> </w:t>
            </w:r>
            <w:proofErr w:type="spellStart"/>
            <w:r w:rsidRPr="005F0648">
              <w:rPr>
                <w:color w:val="404040" w:themeColor="text1"/>
              </w:rPr>
              <w:t>l’investigation</w:t>
            </w:r>
            <w:proofErr w:type="spellEnd"/>
            <w:r w:rsidRPr="005F0648">
              <w:rPr>
                <w:color w:val="404040" w:themeColor="text1"/>
              </w:rPr>
              <w:t xml:space="preserve"> pour les incidents </w:t>
            </w:r>
            <w:proofErr w:type="spellStart"/>
            <w:r w:rsidRPr="005F0648">
              <w:rPr>
                <w:color w:val="404040" w:themeColor="text1"/>
              </w:rPr>
              <w:t>majeurs</w:t>
            </w:r>
            <w:proofErr w:type="spellEnd"/>
            <w:r w:rsidRPr="005F0648">
              <w:rPr>
                <w:color w:val="404040" w:themeColor="text1"/>
              </w:rPr>
              <w:t xml:space="preserve"> à </w:t>
            </w:r>
            <w:proofErr w:type="spellStart"/>
            <w:r w:rsidRPr="005F0648">
              <w:rPr>
                <w:color w:val="404040" w:themeColor="text1"/>
              </w:rPr>
              <w:t>une</w:t>
            </w:r>
            <w:proofErr w:type="spellEnd"/>
            <w:r w:rsidRPr="005F0648">
              <w:rPr>
                <w:color w:val="404040" w:themeColor="text1"/>
              </w:rPr>
              <w:t xml:space="preserve"> </w:t>
            </w:r>
            <w:proofErr w:type="spellStart"/>
            <w:r w:rsidRPr="005F0648">
              <w:rPr>
                <w:color w:val="404040" w:themeColor="text1"/>
              </w:rPr>
              <w:t>équipe</w:t>
            </w:r>
            <w:proofErr w:type="spellEnd"/>
            <w:r w:rsidRPr="005F0648">
              <w:rPr>
                <w:color w:val="404040" w:themeColor="text1"/>
              </w:rPr>
              <w:t xml:space="preserve"> de </w:t>
            </w:r>
            <w:proofErr w:type="spellStart"/>
            <w:r w:rsidRPr="005F0648">
              <w:rPr>
                <w:color w:val="404040" w:themeColor="text1"/>
              </w:rPr>
              <w:t>professionnels</w:t>
            </w:r>
            <w:proofErr w:type="spellEnd"/>
            <w:r w:rsidRPr="005F0648">
              <w:rPr>
                <w:color w:val="404040" w:themeColor="text1"/>
              </w:rPr>
              <w:t xml:space="preserve"> issue de la LIDHO</w:t>
            </w:r>
          </w:p>
          <w:p w14:paraId="1154BC3D" w14:textId="77777777" w:rsidR="00D2178D" w:rsidRPr="005F0648" w:rsidRDefault="00D2178D" w:rsidP="00390EA4">
            <w:pPr>
              <w:pStyle w:val="liste1"/>
            </w:pPr>
            <w:proofErr w:type="spellStart"/>
            <w:r w:rsidRPr="005F0648">
              <w:rPr>
                <w:color w:val="404040" w:themeColor="text1"/>
              </w:rPr>
              <w:t>Organiser</w:t>
            </w:r>
            <w:proofErr w:type="spellEnd"/>
            <w:r w:rsidRPr="005F0648">
              <w:rPr>
                <w:color w:val="404040" w:themeColor="text1"/>
              </w:rPr>
              <w:t xml:space="preserve"> 01 session </w:t>
            </w:r>
            <w:proofErr w:type="spellStart"/>
            <w:r w:rsidRPr="005F0648">
              <w:rPr>
                <w:color w:val="404040" w:themeColor="text1"/>
              </w:rPr>
              <w:t>d’orientation</w:t>
            </w:r>
            <w:proofErr w:type="spellEnd"/>
            <w:r w:rsidRPr="005F0648">
              <w:rPr>
                <w:color w:val="404040" w:themeColor="text1"/>
              </w:rPr>
              <w:t xml:space="preserve"> (2 </w:t>
            </w:r>
            <w:proofErr w:type="spellStart"/>
            <w:r w:rsidRPr="005F0648">
              <w:rPr>
                <w:color w:val="404040" w:themeColor="text1"/>
              </w:rPr>
              <w:t>jrs</w:t>
            </w:r>
            <w:proofErr w:type="spellEnd"/>
            <w:r w:rsidRPr="005F0648">
              <w:rPr>
                <w:color w:val="404040" w:themeColor="text1"/>
              </w:rPr>
              <w:t xml:space="preserve">) des SPJEJ sur le </w:t>
            </w:r>
            <w:proofErr w:type="spellStart"/>
            <w:r w:rsidRPr="005F0648">
              <w:rPr>
                <w:color w:val="404040" w:themeColor="text1"/>
              </w:rPr>
              <w:t>mécanisme</w:t>
            </w:r>
            <w:proofErr w:type="spellEnd"/>
            <w:r w:rsidRPr="005F0648">
              <w:rPr>
                <w:color w:val="404040" w:themeColor="text1"/>
              </w:rPr>
              <w:t xml:space="preserve"> de </w:t>
            </w:r>
            <w:proofErr w:type="spellStart"/>
            <w:r w:rsidRPr="005F0648">
              <w:rPr>
                <w:color w:val="404040" w:themeColor="text1"/>
              </w:rPr>
              <w:t>prise</w:t>
            </w:r>
            <w:proofErr w:type="spellEnd"/>
            <w:r w:rsidRPr="005F0648">
              <w:rPr>
                <w:color w:val="404040" w:themeColor="text1"/>
              </w:rPr>
              <w:t xml:space="preserve"> </w:t>
            </w:r>
            <w:proofErr w:type="spellStart"/>
            <w:r w:rsidRPr="005F0648">
              <w:rPr>
                <w:color w:val="404040" w:themeColor="text1"/>
              </w:rPr>
              <w:t>en</w:t>
            </w:r>
            <w:proofErr w:type="spellEnd"/>
            <w:r w:rsidRPr="005F0648">
              <w:rPr>
                <w:color w:val="404040" w:themeColor="text1"/>
              </w:rPr>
              <w:t xml:space="preserve"> charge des </w:t>
            </w:r>
            <w:proofErr w:type="spellStart"/>
            <w:r w:rsidRPr="005F0648">
              <w:rPr>
                <w:color w:val="404040" w:themeColor="text1"/>
              </w:rPr>
              <w:t>cas</w:t>
            </w:r>
            <w:proofErr w:type="spellEnd"/>
            <w:r w:rsidRPr="005F0648">
              <w:rPr>
                <w:color w:val="404040" w:themeColor="text1"/>
              </w:rPr>
              <w:t xml:space="preserve"> de violation des DH </w:t>
            </w:r>
          </w:p>
          <w:p w14:paraId="7AC631FB" w14:textId="77777777" w:rsidR="00D2178D" w:rsidRPr="005F0648" w:rsidRDefault="00D2178D" w:rsidP="00390EA4">
            <w:pPr>
              <w:pStyle w:val="liste1"/>
            </w:pPr>
            <w:r w:rsidRPr="005F0648">
              <w:rPr>
                <w:color w:val="404040" w:themeColor="text1"/>
              </w:rPr>
              <w:t xml:space="preserve">Former 200 nouveaux points </w:t>
            </w:r>
            <w:proofErr w:type="spellStart"/>
            <w:r w:rsidRPr="005F0648">
              <w:rPr>
                <w:color w:val="404040" w:themeColor="text1"/>
              </w:rPr>
              <w:t>focaux</w:t>
            </w:r>
            <w:proofErr w:type="spellEnd"/>
            <w:r w:rsidRPr="005F0648">
              <w:rPr>
                <w:color w:val="404040" w:themeColor="text1"/>
              </w:rPr>
              <w:t xml:space="preserve"> commissariat et gendarmerie</w:t>
            </w:r>
          </w:p>
          <w:p w14:paraId="20786D1F" w14:textId="77777777" w:rsidR="00D2178D" w:rsidRPr="005F0648" w:rsidRDefault="00D2178D" w:rsidP="00390EA4">
            <w:pPr>
              <w:pStyle w:val="liste1"/>
            </w:pPr>
            <w:r w:rsidRPr="005F0648">
              <w:rPr>
                <w:color w:val="404040" w:themeColor="text1"/>
              </w:rPr>
              <w:t xml:space="preserve">Assurer les frais de dossier </w:t>
            </w:r>
            <w:proofErr w:type="gramStart"/>
            <w:r w:rsidRPr="005F0648">
              <w:rPr>
                <w:color w:val="404040" w:themeColor="text1"/>
              </w:rPr>
              <w:t>pour</w:t>
            </w:r>
            <w:proofErr w:type="gramEnd"/>
            <w:r w:rsidRPr="005F0648">
              <w:rPr>
                <w:color w:val="404040" w:themeColor="text1"/>
              </w:rPr>
              <w:t xml:space="preserve"> </w:t>
            </w:r>
            <w:proofErr w:type="spellStart"/>
            <w:r w:rsidRPr="005F0648">
              <w:rPr>
                <w:color w:val="404040" w:themeColor="text1"/>
              </w:rPr>
              <w:t>l'assistance</w:t>
            </w:r>
            <w:proofErr w:type="spellEnd"/>
            <w:r w:rsidRPr="005F0648">
              <w:rPr>
                <w:color w:val="404040" w:themeColor="text1"/>
              </w:rPr>
              <w:t xml:space="preserve"> </w:t>
            </w:r>
            <w:proofErr w:type="spellStart"/>
            <w:r w:rsidRPr="005F0648">
              <w:rPr>
                <w:color w:val="404040" w:themeColor="text1"/>
              </w:rPr>
              <w:t>juridique</w:t>
            </w:r>
            <w:proofErr w:type="spellEnd"/>
            <w:r w:rsidRPr="005F0648">
              <w:rPr>
                <w:color w:val="404040" w:themeColor="text1"/>
              </w:rPr>
              <w:t xml:space="preserve"> des </w:t>
            </w:r>
            <w:proofErr w:type="spellStart"/>
            <w:r w:rsidRPr="005F0648">
              <w:rPr>
                <w:color w:val="404040" w:themeColor="text1"/>
              </w:rPr>
              <w:t>victimes</w:t>
            </w:r>
            <w:proofErr w:type="spellEnd"/>
            <w:r w:rsidRPr="005F0648">
              <w:rPr>
                <w:color w:val="404040" w:themeColor="text1"/>
              </w:rPr>
              <w:t xml:space="preserve"> (frais </w:t>
            </w:r>
            <w:proofErr w:type="spellStart"/>
            <w:r w:rsidRPr="005F0648">
              <w:rPr>
                <w:color w:val="404040" w:themeColor="text1"/>
              </w:rPr>
              <w:t>d'ouverture</w:t>
            </w:r>
            <w:proofErr w:type="spellEnd"/>
            <w:r w:rsidRPr="005F0648">
              <w:rPr>
                <w:color w:val="404040" w:themeColor="text1"/>
              </w:rPr>
              <w:t xml:space="preserve"> de </w:t>
            </w:r>
            <w:proofErr w:type="spellStart"/>
            <w:r w:rsidRPr="005F0648">
              <w:rPr>
                <w:color w:val="404040" w:themeColor="text1"/>
              </w:rPr>
              <w:t>dossier+honoraire</w:t>
            </w:r>
            <w:proofErr w:type="spellEnd"/>
            <w:r w:rsidRPr="005F0648">
              <w:rPr>
                <w:color w:val="404040" w:themeColor="text1"/>
              </w:rPr>
              <w:t xml:space="preserve"> de </w:t>
            </w:r>
            <w:proofErr w:type="spellStart"/>
            <w:r w:rsidRPr="005F0648">
              <w:rPr>
                <w:color w:val="404040" w:themeColor="text1"/>
              </w:rPr>
              <w:t>l'avocat</w:t>
            </w:r>
            <w:proofErr w:type="spellEnd"/>
            <w:r w:rsidRPr="005F0648">
              <w:rPr>
                <w:color w:val="404040" w:themeColor="text1"/>
              </w:rPr>
              <w:t xml:space="preserve">) / 10 </w:t>
            </w:r>
            <w:proofErr w:type="spellStart"/>
            <w:r w:rsidRPr="005F0648">
              <w:rPr>
                <w:color w:val="404040" w:themeColor="text1"/>
              </w:rPr>
              <w:t>cas</w:t>
            </w:r>
            <w:proofErr w:type="spellEnd"/>
            <w:r w:rsidRPr="005F0648">
              <w:rPr>
                <w:color w:val="404040" w:themeColor="text1"/>
              </w:rPr>
              <w:t xml:space="preserve"> par an</w:t>
            </w:r>
          </w:p>
          <w:p w14:paraId="46FF14F4" w14:textId="77777777" w:rsidR="00D2178D" w:rsidRPr="00472BCC" w:rsidRDefault="00D2178D" w:rsidP="00390EA4">
            <w:pPr>
              <w:pStyle w:val="ListParagraph"/>
              <w:tabs>
                <w:tab w:val="left" w:pos="1056"/>
              </w:tabs>
              <w:spacing w:after="0" w:line="240" w:lineRule="auto"/>
              <w:jc w:val="both"/>
              <w:rPr>
                <w:rFonts w:cs="Arial"/>
                <w:color w:val="404040" w:themeColor="text1"/>
              </w:rPr>
            </w:pPr>
          </w:p>
          <w:p w14:paraId="42D3B48D" w14:textId="77777777" w:rsidR="00D2178D" w:rsidRPr="00472BCC" w:rsidRDefault="00D2178D" w:rsidP="006F6940">
            <w:pPr>
              <w:pStyle w:val="NormalJBGS"/>
              <w:numPr>
                <w:ilvl w:val="0"/>
                <w:numId w:val="41"/>
              </w:numPr>
              <w:jc w:val="both"/>
              <w:rPr>
                <w:rFonts w:cs="Arial"/>
                <w:b/>
                <w:bCs/>
                <w:i w:val="0"/>
                <w:color w:val="404040" w:themeColor="text1"/>
                <w:sz w:val="22"/>
                <w:szCs w:val="22"/>
                <w:lang w:val="fr-FR"/>
              </w:rPr>
            </w:pPr>
            <w:r w:rsidRPr="00472BCC">
              <w:rPr>
                <w:rFonts w:cs="Arial"/>
                <w:b/>
                <w:bCs/>
                <w:i w:val="0"/>
                <w:color w:val="404040" w:themeColor="text1"/>
                <w:sz w:val="22"/>
                <w:szCs w:val="22"/>
                <w:lang w:val="fr-FR"/>
              </w:rPr>
              <w:t>Sensibilisation des législateurs et des agents des forces de l’ordre</w:t>
            </w:r>
          </w:p>
          <w:p w14:paraId="27909896" w14:textId="2B4B5B05" w:rsidR="00A116B2" w:rsidRPr="00750CA9" w:rsidRDefault="00D2178D" w:rsidP="00A116B2">
            <w:pPr>
              <w:pStyle w:val="Texteformulaire"/>
              <w:rPr>
                <w:lang w:val="fr-FR"/>
              </w:rPr>
            </w:pPr>
            <w:r w:rsidRPr="00750CA9">
              <w:rPr>
                <w:lang w:val="fr-FR"/>
              </w:rPr>
              <w:lastRenderedPageBreak/>
              <w:t>La 1</w:t>
            </w:r>
            <w:r w:rsidRPr="00750CA9">
              <w:rPr>
                <w:vertAlign w:val="superscript"/>
                <w:lang w:val="fr-FR"/>
              </w:rPr>
              <w:t>ère</w:t>
            </w:r>
            <w:r w:rsidRPr="00750CA9">
              <w:rPr>
                <w:lang w:val="fr-FR"/>
              </w:rPr>
              <w:t xml:space="preserve"> étude index stigma a fait ressortir la méconnaissance les principaux des Instruments juridiques, de politiques nationaux et internationaux d’une part et d’autres part la persistance des violences perpétrées par les forces de l’ordre sur les populations vulnérables. Pour le NFM2, la question de la sensibilisation des forces de l’ordre a été </w:t>
            </w:r>
            <w:r w:rsidRPr="000079FB">
              <w:rPr>
                <w:lang w:val="fr-FR"/>
              </w:rPr>
              <w:t>abordé</w:t>
            </w:r>
            <w:r w:rsidR="008123BB">
              <w:rPr>
                <w:lang w:val="fr-FR"/>
              </w:rPr>
              <w:t>e</w:t>
            </w:r>
            <w:r w:rsidRPr="00750CA9">
              <w:rPr>
                <w:lang w:val="fr-FR"/>
              </w:rPr>
              <w:t xml:space="preserve"> à travers le renforcement des capacités d’une soixantaine d’OPJ installés comme </w:t>
            </w:r>
            <w:r w:rsidR="00A116B2" w:rsidRPr="00750CA9">
              <w:rPr>
                <w:lang w:val="fr-FR"/>
              </w:rPr>
              <w:t>points focaux</w:t>
            </w:r>
            <w:r w:rsidRPr="00750CA9">
              <w:rPr>
                <w:lang w:val="fr-FR"/>
              </w:rPr>
              <w:t xml:space="preserve"> genre dans les commissariats. La NMF3 permettra de renforcer cet aspect pour faire cesser les violences </w:t>
            </w:r>
            <w:proofErr w:type="spellStart"/>
            <w:r w:rsidRPr="00750CA9">
              <w:rPr>
                <w:lang w:val="fr-FR"/>
              </w:rPr>
              <w:t>decriées</w:t>
            </w:r>
            <w:proofErr w:type="spellEnd"/>
            <w:r w:rsidRPr="00750CA9">
              <w:rPr>
                <w:lang w:val="fr-FR"/>
              </w:rPr>
              <w:t xml:space="preserve"> dans l’accomplissement des taches régaliennes de maintien de l’ordre et faciliter l’accès à la justice pour les forces de l’ordre. Ces interventions seront mises à échelle sur l</w:t>
            </w:r>
            <w:r w:rsidR="00A116B2" w:rsidRPr="00750CA9">
              <w:rPr>
                <w:lang w:val="fr-FR"/>
              </w:rPr>
              <w:t>’ensemble du pays</w:t>
            </w:r>
            <w:r w:rsidRPr="00750CA9">
              <w:rPr>
                <w:lang w:val="fr-FR"/>
              </w:rPr>
              <w:t>.</w:t>
            </w:r>
            <w:r w:rsidR="00302F36" w:rsidRPr="00750CA9">
              <w:rPr>
                <w:lang w:val="fr-FR"/>
              </w:rPr>
              <w:t xml:space="preserve"> </w:t>
            </w:r>
          </w:p>
          <w:p w14:paraId="4EC24BE1" w14:textId="7CB0D963" w:rsidR="00D2178D" w:rsidRPr="00472BCC" w:rsidRDefault="00302F36" w:rsidP="00390EA4">
            <w:pPr>
              <w:pStyle w:val="Texteformulaire"/>
            </w:pPr>
            <w:r>
              <w:rPr>
                <w:color w:val="000000"/>
                <w:lang w:val="fr-FR"/>
              </w:rPr>
              <w:t>Les principales activités sont :</w:t>
            </w:r>
          </w:p>
          <w:p w14:paraId="0EE5DB98" w14:textId="19C7BF67" w:rsidR="00D2178D" w:rsidRDefault="00D2178D" w:rsidP="00390EA4">
            <w:pPr>
              <w:pStyle w:val="liste1"/>
            </w:pPr>
            <w:proofErr w:type="spellStart"/>
            <w:r w:rsidRPr="00302F36">
              <w:t>Conduire</w:t>
            </w:r>
            <w:proofErr w:type="spellEnd"/>
            <w:r w:rsidRPr="00302F36">
              <w:t xml:space="preserve"> un </w:t>
            </w:r>
            <w:proofErr w:type="spellStart"/>
            <w:r w:rsidRPr="00302F36">
              <w:t>programme</w:t>
            </w:r>
            <w:proofErr w:type="spellEnd"/>
            <w:r w:rsidRPr="00302F36">
              <w:t xml:space="preserve"> LILO et DH </w:t>
            </w:r>
            <w:proofErr w:type="spellStart"/>
            <w:r w:rsidRPr="00302F36">
              <w:t>en</w:t>
            </w:r>
            <w:proofErr w:type="spellEnd"/>
            <w:r w:rsidRPr="00302F36">
              <w:t xml:space="preserve"> direction des </w:t>
            </w:r>
            <w:proofErr w:type="spellStart"/>
            <w:r w:rsidRPr="00302F36">
              <w:t>législateurs</w:t>
            </w:r>
            <w:proofErr w:type="spellEnd"/>
            <w:r w:rsidRPr="00302F36">
              <w:t xml:space="preserve">, </w:t>
            </w:r>
            <w:proofErr w:type="spellStart"/>
            <w:r w:rsidRPr="00302F36">
              <w:t>policiers</w:t>
            </w:r>
            <w:proofErr w:type="spellEnd"/>
            <w:r w:rsidRPr="00302F36">
              <w:t xml:space="preserve"> et gendarmes</w:t>
            </w:r>
            <w:r w:rsidR="00AC5E35">
              <w:t xml:space="preserve"> (</w:t>
            </w:r>
            <w:proofErr w:type="spellStart"/>
            <w:r w:rsidR="00AC5E35">
              <w:t>couvrant</w:t>
            </w:r>
            <w:proofErr w:type="spellEnd"/>
            <w:r w:rsidR="00AC5E35">
              <w:t xml:space="preserve"> les questions relatives aux TS, HSH, TG et UD)</w:t>
            </w:r>
          </w:p>
          <w:p w14:paraId="23261C6E" w14:textId="713A8270" w:rsidR="00D2178D" w:rsidRDefault="00D2178D" w:rsidP="00A116B2">
            <w:pPr>
              <w:pStyle w:val="liste1"/>
            </w:pPr>
            <w:proofErr w:type="spellStart"/>
            <w:r w:rsidRPr="00302F36">
              <w:t>Organiser</w:t>
            </w:r>
            <w:proofErr w:type="spellEnd"/>
            <w:r w:rsidRPr="00302F36">
              <w:t xml:space="preserve"> 01 </w:t>
            </w:r>
            <w:proofErr w:type="spellStart"/>
            <w:r w:rsidRPr="00302F36">
              <w:t>campagne</w:t>
            </w:r>
            <w:proofErr w:type="spellEnd"/>
            <w:r w:rsidRPr="00302F36">
              <w:t xml:space="preserve"> de </w:t>
            </w:r>
            <w:proofErr w:type="spellStart"/>
            <w:r w:rsidRPr="00302F36">
              <w:t>sensibilisation</w:t>
            </w:r>
            <w:proofErr w:type="spellEnd"/>
            <w:r w:rsidRPr="00302F36">
              <w:t xml:space="preserve"> des </w:t>
            </w:r>
            <w:proofErr w:type="spellStart"/>
            <w:r w:rsidRPr="00302F36">
              <w:t>législateurs</w:t>
            </w:r>
            <w:proofErr w:type="spellEnd"/>
            <w:r w:rsidRPr="00302F36">
              <w:t xml:space="preserve"> sur les violations des droits </w:t>
            </w:r>
            <w:proofErr w:type="spellStart"/>
            <w:r w:rsidRPr="00302F36">
              <w:t>humains</w:t>
            </w:r>
            <w:proofErr w:type="spellEnd"/>
            <w:r w:rsidRPr="00302F36">
              <w:t xml:space="preserve">, </w:t>
            </w:r>
            <w:proofErr w:type="spellStart"/>
            <w:r w:rsidRPr="00302F36">
              <w:t>stigmatisation</w:t>
            </w:r>
            <w:proofErr w:type="spellEnd"/>
            <w:r w:rsidRPr="00302F36">
              <w:t xml:space="preserve">, discrimination des populations </w:t>
            </w:r>
            <w:proofErr w:type="spellStart"/>
            <w:r w:rsidRPr="00302F36">
              <w:t>clés</w:t>
            </w:r>
            <w:proofErr w:type="spellEnd"/>
            <w:r w:rsidRPr="00302F36">
              <w:t xml:space="preserve"> et des PVVIH </w:t>
            </w:r>
            <w:proofErr w:type="spellStart"/>
            <w:r w:rsidRPr="00302F36">
              <w:t>en</w:t>
            </w:r>
            <w:proofErr w:type="spellEnd"/>
            <w:r w:rsidRPr="00302F36">
              <w:t xml:space="preserve"> direction de la population sur les radios de </w:t>
            </w:r>
            <w:proofErr w:type="spellStart"/>
            <w:r w:rsidRPr="00302F36">
              <w:t>proximité</w:t>
            </w:r>
            <w:proofErr w:type="spellEnd"/>
          </w:p>
          <w:p w14:paraId="6CAAFB9F" w14:textId="77777777" w:rsidR="00A116B2" w:rsidRPr="00302F36" w:rsidRDefault="00A116B2" w:rsidP="00390EA4">
            <w:pPr>
              <w:pStyle w:val="liste1"/>
              <w:numPr>
                <w:ilvl w:val="0"/>
                <w:numId w:val="0"/>
              </w:numPr>
              <w:ind w:left="360"/>
            </w:pPr>
          </w:p>
          <w:p w14:paraId="081D6302" w14:textId="77777777" w:rsidR="00D2178D" w:rsidRPr="00472BCC" w:rsidRDefault="00D2178D" w:rsidP="006F6940">
            <w:pPr>
              <w:pStyle w:val="NormalJBGS"/>
              <w:numPr>
                <w:ilvl w:val="0"/>
                <w:numId w:val="41"/>
              </w:numPr>
              <w:jc w:val="both"/>
              <w:rPr>
                <w:rFonts w:cs="Arial"/>
                <w:b/>
                <w:bCs/>
                <w:i w:val="0"/>
                <w:color w:val="404040" w:themeColor="text1"/>
                <w:sz w:val="22"/>
                <w:szCs w:val="22"/>
                <w:lang w:val="fr-FR"/>
              </w:rPr>
            </w:pPr>
            <w:r w:rsidRPr="00472BCC">
              <w:rPr>
                <w:rFonts w:cs="Arial"/>
                <w:b/>
                <w:bCs/>
                <w:i w:val="0"/>
                <w:color w:val="404040" w:themeColor="text1"/>
                <w:sz w:val="22"/>
                <w:szCs w:val="22"/>
                <w:lang w:val="fr-FR"/>
              </w:rPr>
              <w:t>Amélioration des lois, des règlements et des politiques liés au VIH et à la co-infection VIH/tuberculose</w:t>
            </w:r>
          </w:p>
          <w:p w14:paraId="6A6BFC4C" w14:textId="0F2AE36F" w:rsidR="00D2178D" w:rsidRPr="00750CA9" w:rsidRDefault="00D2178D" w:rsidP="00390EA4">
            <w:pPr>
              <w:pStyle w:val="Texteformulaire"/>
              <w:rPr>
                <w:lang w:val="fr-FR"/>
              </w:rPr>
            </w:pPr>
            <w:r w:rsidRPr="00750CA9">
              <w:rPr>
                <w:lang w:val="fr-FR"/>
              </w:rPr>
              <w:t>Au regard des insuffisances relevées à travers certaines analyses en matière de disposition, il s’avère nécessaire d’harmoniser les lois, règlements et politique, liés au VIH et à la co-infection VIH/TB par la conduite de plaidoyer auprès des autorités compétentes.</w:t>
            </w:r>
          </w:p>
          <w:p w14:paraId="3CAFC650" w14:textId="04EFA12B" w:rsidR="00A116B2" w:rsidRPr="00750CA9" w:rsidRDefault="00D2178D" w:rsidP="00A116B2">
            <w:pPr>
              <w:pStyle w:val="Texteformulaire"/>
              <w:rPr>
                <w:lang w:val="fr-FR"/>
              </w:rPr>
            </w:pPr>
            <w:r w:rsidRPr="00750CA9">
              <w:rPr>
                <w:lang w:val="fr-FR"/>
              </w:rPr>
              <w:t xml:space="preserve">Pour la NFM3, les dispositions devant faire l’objet d’amendement seront </w:t>
            </w:r>
            <w:r w:rsidRPr="000079FB">
              <w:rPr>
                <w:lang w:val="fr-FR"/>
              </w:rPr>
              <w:t>porté</w:t>
            </w:r>
            <w:r w:rsidR="00D3768E">
              <w:rPr>
                <w:lang w:val="fr-FR"/>
              </w:rPr>
              <w:t>es</w:t>
            </w:r>
            <w:r w:rsidRPr="00750CA9">
              <w:rPr>
                <w:lang w:val="fr-FR"/>
              </w:rPr>
              <w:t xml:space="preserve"> à la connaissance des acteurs clés ou institutionnels qui constituent les leviers pour un changement de l’environnement légal. Un plaidoyer va cibler principalement les ministères techniques en charge des questions de justice et des droits de l’homme (MJDH et le Secrétariat d’Etat des Droits de l’Homme, MFFE, MPS) et l’institution parlementaire (Assemblée nationale et Sénat). </w:t>
            </w:r>
          </w:p>
          <w:p w14:paraId="4BBACEC5" w14:textId="7683E331" w:rsidR="00D2178D" w:rsidRPr="00472BCC" w:rsidRDefault="00302F36" w:rsidP="00390EA4">
            <w:pPr>
              <w:pStyle w:val="Texteformulaire"/>
            </w:pPr>
            <w:r>
              <w:rPr>
                <w:color w:val="000000"/>
              </w:rPr>
              <w:t xml:space="preserve">Les </w:t>
            </w:r>
            <w:proofErr w:type="spellStart"/>
            <w:r>
              <w:rPr>
                <w:color w:val="000000"/>
              </w:rPr>
              <w:t>principales</w:t>
            </w:r>
            <w:proofErr w:type="spellEnd"/>
            <w:r>
              <w:rPr>
                <w:color w:val="000000"/>
              </w:rPr>
              <w:t xml:space="preserve"> </w:t>
            </w:r>
            <w:proofErr w:type="spellStart"/>
            <w:r>
              <w:rPr>
                <w:color w:val="000000"/>
              </w:rPr>
              <w:t>activités</w:t>
            </w:r>
            <w:proofErr w:type="spellEnd"/>
            <w:r>
              <w:rPr>
                <w:color w:val="000000"/>
              </w:rPr>
              <w:t xml:space="preserve"> </w:t>
            </w:r>
            <w:proofErr w:type="spellStart"/>
            <w:proofErr w:type="gramStart"/>
            <w:r>
              <w:rPr>
                <w:color w:val="000000"/>
              </w:rPr>
              <w:t>sont</w:t>
            </w:r>
            <w:proofErr w:type="spellEnd"/>
            <w:r>
              <w:rPr>
                <w:color w:val="000000"/>
              </w:rPr>
              <w:t> :</w:t>
            </w:r>
            <w:proofErr w:type="gramEnd"/>
          </w:p>
          <w:p w14:paraId="589B2944" w14:textId="2984BDF7" w:rsidR="00D2178D" w:rsidRDefault="00D2178D" w:rsidP="00390EA4">
            <w:pPr>
              <w:pStyle w:val="liste1"/>
            </w:pPr>
            <w:proofErr w:type="spellStart"/>
            <w:r w:rsidRPr="00302F36">
              <w:t>Mettre</w:t>
            </w:r>
            <w:proofErr w:type="spellEnd"/>
            <w:r w:rsidRPr="00302F36">
              <w:t xml:space="preserve"> </w:t>
            </w:r>
            <w:proofErr w:type="spellStart"/>
            <w:r w:rsidRPr="00302F36">
              <w:t>en</w:t>
            </w:r>
            <w:proofErr w:type="spellEnd"/>
            <w:r w:rsidRPr="00302F36">
              <w:t xml:space="preserve"> place un </w:t>
            </w:r>
            <w:proofErr w:type="spellStart"/>
            <w:r w:rsidRPr="00302F36">
              <w:t>groupe</w:t>
            </w:r>
            <w:proofErr w:type="spellEnd"/>
            <w:r w:rsidRPr="00302F36">
              <w:t xml:space="preserve"> de </w:t>
            </w:r>
            <w:proofErr w:type="spellStart"/>
            <w:r w:rsidRPr="00302F36">
              <w:t>plaideurs</w:t>
            </w:r>
            <w:proofErr w:type="spellEnd"/>
            <w:r w:rsidRPr="00302F36">
              <w:t xml:space="preserve"> </w:t>
            </w:r>
            <w:proofErr w:type="spellStart"/>
            <w:r w:rsidRPr="00302F36">
              <w:t>bénévoles</w:t>
            </w:r>
            <w:proofErr w:type="spellEnd"/>
            <w:r w:rsidRPr="00302F36">
              <w:t xml:space="preserve"> sur les questions DH-VIH/TB</w:t>
            </w:r>
          </w:p>
          <w:p w14:paraId="538AFD67" w14:textId="77777777" w:rsidR="00D2178D" w:rsidRDefault="00D2178D" w:rsidP="00390EA4">
            <w:pPr>
              <w:pStyle w:val="liste1"/>
            </w:pPr>
            <w:proofErr w:type="spellStart"/>
            <w:r w:rsidRPr="00302F36">
              <w:t>Organiser</w:t>
            </w:r>
            <w:proofErr w:type="spellEnd"/>
            <w:r w:rsidRPr="00302F36">
              <w:t xml:space="preserve"> 01 </w:t>
            </w:r>
            <w:proofErr w:type="spellStart"/>
            <w:r w:rsidRPr="00302F36">
              <w:t>échange</w:t>
            </w:r>
            <w:proofErr w:type="spellEnd"/>
            <w:r w:rsidRPr="00302F36">
              <w:t xml:space="preserve"> </w:t>
            </w:r>
            <w:proofErr w:type="spellStart"/>
            <w:r w:rsidRPr="00302F36">
              <w:t>scientifique</w:t>
            </w:r>
            <w:proofErr w:type="spellEnd"/>
            <w:r w:rsidRPr="00302F36">
              <w:t xml:space="preserve"> sur </w:t>
            </w:r>
            <w:proofErr w:type="spellStart"/>
            <w:r w:rsidRPr="00302F36">
              <w:t>l’impact</w:t>
            </w:r>
            <w:proofErr w:type="spellEnd"/>
            <w:r w:rsidRPr="00302F36">
              <w:t xml:space="preserve"> de </w:t>
            </w:r>
            <w:proofErr w:type="spellStart"/>
            <w:r w:rsidRPr="00302F36">
              <w:t>l’environnement</w:t>
            </w:r>
            <w:proofErr w:type="spellEnd"/>
            <w:r w:rsidRPr="00302F36">
              <w:t xml:space="preserve"> </w:t>
            </w:r>
            <w:proofErr w:type="spellStart"/>
            <w:r w:rsidRPr="00302F36">
              <w:t>sociale</w:t>
            </w:r>
            <w:proofErr w:type="spellEnd"/>
            <w:r w:rsidRPr="00302F36">
              <w:t xml:space="preserve"> et </w:t>
            </w:r>
            <w:proofErr w:type="spellStart"/>
            <w:r w:rsidRPr="00302F36">
              <w:t>juridique</w:t>
            </w:r>
            <w:proofErr w:type="spellEnd"/>
            <w:r w:rsidRPr="00302F36">
              <w:t xml:space="preserve"> dans </w:t>
            </w:r>
            <w:proofErr w:type="spellStart"/>
            <w:r w:rsidRPr="00302F36">
              <w:t>l’évolution</w:t>
            </w:r>
            <w:proofErr w:type="spellEnd"/>
            <w:r w:rsidRPr="00302F36">
              <w:t xml:space="preserve"> de la </w:t>
            </w:r>
            <w:proofErr w:type="spellStart"/>
            <w:r w:rsidRPr="00302F36">
              <w:t>pandémie</w:t>
            </w:r>
            <w:proofErr w:type="spellEnd"/>
            <w:r w:rsidRPr="00302F36">
              <w:t xml:space="preserve"> VIH/Tb </w:t>
            </w:r>
          </w:p>
          <w:p w14:paraId="1628413F" w14:textId="77777777" w:rsidR="00D2178D" w:rsidRDefault="00D2178D" w:rsidP="00390EA4">
            <w:pPr>
              <w:pStyle w:val="liste1"/>
            </w:pPr>
            <w:proofErr w:type="spellStart"/>
            <w:r w:rsidRPr="00302F36">
              <w:t>Organiser</w:t>
            </w:r>
            <w:proofErr w:type="spellEnd"/>
            <w:r w:rsidRPr="00302F36">
              <w:t xml:space="preserve"> 04 sessions </w:t>
            </w:r>
            <w:proofErr w:type="spellStart"/>
            <w:r w:rsidRPr="00302F36">
              <w:t>annuelles</w:t>
            </w:r>
            <w:proofErr w:type="spellEnd"/>
            <w:r w:rsidRPr="00302F36">
              <w:t xml:space="preserve"> </w:t>
            </w:r>
            <w:proofErr w:type="spellStart"/>
            <w:r w:rsidRPr="00302F36">
              <w:t>d'échanges</w:t>
            </w:r>
            <w:proofErr w:type="spellEnd"/>
            <w:r w:rsidRPr="00302F36">
              <w:t xml:space="preserve"> entre forces de </w:t>
            </w:r>
            <w:proofErr w:type="spellStart"/>
            <w:r w:rsidRPr="00302F36">
              <w:t>défense</w:t>
            </w:r>
            <w:proofErr w:type="spellEnd"/>
            <w:r w:rsidRPr="00302F36">
              <w:t xml:space="preserve"> et de </w:t>
            </w:r>
            <w:proofErr w:type="spellStart"/>
            <w:r w:rsidRPr="00302F36">
              <w:t>sécurités</w:t>
            </w:r>
            <w:proofErr w:type="spellEnd"/>
            <w:r w:rsidRPr="00302F36">
              <w:t xml:space="preserve">, </w:t>
            </w:r>
            <w:proofErr w:type="spellStart"/>
            <w:r w:rsidRPr="00302F36">
              <w:t>magistrats</w:t>
            </w:r>
            <w:proofErr w:type="spellEnd"/>
            <w:r w:rsidRPr="00302F36">
              <w:t xml:space="preserve">, </w:t>
            </w:r>
            <w:proofErr w:type="spellStart"/>
            <w:r w:rsidRPr="00302F36">
              <w:t>prestataires</w:t>
            </w:r>
            <w:proofErr w:type="spellEnd"/>
            <w:r w:rsidRPr="00302F36">
              <w:t xml:space="preserve"> de santé, (etc.) sur la mise </w:t>
            </w:r>
            <w:proofErr w:type="spellStart"/>
            <w:r w:rsidRPr="00302F36">
              <w:t>en</w:t>
            </w:r>
            <w:proofErr w:type="spellEnd"/>
            <w:r w:rsidRPr="00302F36">
              <w:t xml:space="preserve"> </w:t>
            </w:r>
            <w:proofErr w:type="spellStart"/>
            <w:r w:rsidRPr="00302F36">
              <w:t>œuvre</w:t>
            </w:r>
            <w:proofErr w:type="spellEnd"/>
            <w:r w:rsidRPr="00302F36">
              <w:t xml:space="preserve"> des interventions des droits </w:t>
            </w:r>
            <w:proofErr w:type="spellStart"/>
            <w:r w:rsidRPr="00302F36">
              <w:t>humains</w:t>
            </w:r>
            <w:proofErr w:type="spellEnd"/>
          </w:p>
          <w:p w14:paraId="215BC5C9" w14:textId="2F5AA3B7" w:rsidR="00D2178D" w:rsidRDefault="00D2178D" w:rsidP="00390EA4">
            <w:pPr>
              <w:pStyle w:val="liste1"/>
            </w:pPr>
            <w:proofErr w:type="spellStart"/>
            <w:r w:rsidRPr="00302F36">
              <w:t>Organiser</w:t>
            </w:r>
            <w:proofErr w:type="spellEnd"/>
            <w:r w:rsidRPr="00302F36">
              <w:t xml:space="preserve"> des </w:t>
            </w:r>
            <w:proofErr w:type="spellStart"/>
            <w:r w:rsidRPr="00302F36">
              <w:t>réunions</w:t>
            </w:r>
            <w:proofErr w:type="spellEnd"/>
            <w:r w:rsidRPr="00302F36">
              <w:t xml:space="preserve"> de plaidoyer sur </w:t>
            </w:r>
            <w:proofErr w:type="spellStart"/>
            <w:r w:rsidRPr="00302F36">
              <w:t>l’encadrement</w:t>
            </w:r>
            <w:proofErr w:type="spellEnd"/>
            <w:r w:rsidRPr="00302F36">
              <w:t xml:space="preserve"> du travail du </w:t>
            </w:r>
            <w:proofErr w:type="spellStart"/>
            <w:r w:rsidRPr="00302F36">
              <w:t>sexe</w:t>
            </w:r>
            <w:proofErr w:type="spellEnd"/>
            <w:r w:rsidRPr="00302F36">
              <w:t xml:space="preserve">, </w:t>
            </w:r>
            <w:r w:rsidR="00EC3AAF">
              <w:t xml:space="preserve">les rapports </w:t>
            </w:r>
            <w:proofErr w:type="spellStart"/>
            <w:r w:rsidR="00EC3AAF">
              <w:t>sexuels</w:t>
            </w:r>
            <w:proofErr w:type="spellEnd"/>
            <w:r w:rsidR="00EC3AAF">
              <w:t xml:space="preserve"> entre </w:t>
            </w:r>
            <w:proofErr w:type="spellStart"/>
            <w:r w:rsidR="00EC3AAF">
              <w:t>personnes</w:t>
            </w:r>
            <w:proofErr w:type="spellEnd"/>
            <w:r w:rsidR="00EC3AAF">
              <w:t xml:space="preserve"> de </w:t>
            </w:r>
            <w:proofErr w:type="spellStart"/>
            <w:r w:rsidR="00EC3AAF">
              <w:t>même</w:t>
            </w:r>
            <w:proofErr w:type="spellEnd"/>
            <w:r w:rsidR="00EC3AAF">
              <w:t xml:space="preserve"> </w:t>
            </w:r>
            <w:proofErr w:type="spellStart"/>
            <w:r w:rsidR="00EC3AAF">
              <w:t>sexe</w:t>
            </w:r>
            <w:proofErr w:type="spellEnd"/>
            <w:r w:rsidR="00EC3AAF">
              <w:t xml:space="preserve">, </w:t>
            </w:r>
            <w:r w:rsidRPr="00302F36">
              <w:t xml:space="preserve">la </w:t>
            </w:r>
            <w:proofErr w:type="spellStart"/>
            <w:r w:rsidRPr="00302F36">
              <w:t>révision</w:t>
            </w:r>
            <w:proofErr w:type="spellEnd"/>
            <w:r w:rsidRPr="00302F36">
              <w:t xml:space="preserve"> de la </w:t>
            </w:r>
            <w:proofErr w:type="spellStart"/>
            <w:r w:rsidRPr="00302F36">
              <w:t>loi</w:t>
            </w:r>
            <w:proofErr w:type="spellEnd"/>
            <w:r w:rsidRPr="00302F36">
              <w:t xml:space="preserve"> VIH </w:t>
            </w:r>
            <w:proofErr w:type="spellStart"/>
            <w:r w:rsidRPr="00302F36">
              <w:t>en</w:t>
            </w:r>
            <w:proofErr w:type="spellEnd"/>
            <w:r w:rsidRPr="00302F36">
              <w:t xml:space="preserve"> </w:t>
            </w:r>
            <w:proofErr w:type="spellStart"/>
            <w:r w:rsidRPr="00302F36">
              <w:t>certains</w:t>
            </w:r>
            <w:proofErr w:type="spellEnd"/>
            <w:r w:rsidRPr="00302F36">
              <w:t xml:space="preserve"> articles</w:t>
            </w:r>
            <w:r w:rsidR="00EC3AAF">
              <w:t xml:space="preserve"> (par </w:t>
            </w:r>
            <w:proofErr w:type="spellStart"/>
            <w:r w:rsidR="00EC3AAF">
              <w:t>exemple</w:t>
            </w:r>
            <w:proofErr w:type="spellEnd"/>
            <w:r w:rsidR="00EC3AAF">
              <w:t xml:space="preserve"> la </w:t>
            </w:r>
            <w:proofErr w:type="spellStart"/>
            <w:r w:rsidR="00EC3AAF">
              <w:t>pénalisation</w:t>
            </w:r>
            <w:proofErr w:type="spellEnd"/>
            <w:r w:rsidR="00EC3AAF">
              <w:t xml:space="preserve"> de la transmission du VIH,</w:t>
            </w:r>
            <w:r w:rsidR="000520C7">
              <w:t xml:space="preserve"> </w:t>
            </w:r>
            <w:r w:rsidR="00EC3AAF">
              <w:rPr>
                <w:lang w:val="fr-FR"/>
              </w:rPr>
              <w:t>le consentement parental pour le dépistage</w:t>
            </w:r>
            <w:r w:rsidR="000520C7">
              <w:rPr>
                <w:lang w:val="fr-FR"/>
              </w:rPr>
              <w:t xml:space="preserve"> des moins de 16 ans, etc.</w:t>
            </w:r>
            <w:r w:rsidR="00EC3AAF">
              <w:rPr>
                <w:lang w:val="fr-FR"/>
              </w:rPr>
              <w:t>)</w:t>
            </w:r>
            <w:r w:rsidRPr="00302F36">
              <w:t xml:space="preserve">, la </w:t>
            </w:r>
            <w:proofErr w:type="spellStart"/>
            <w:r w:rsidRPr="00302F36">
              <w:t>réforme</w:t>
            </w:r>
            <w:proofErr w:type="spellEnd"/>
            <w:r w:rsidRPr="00302F36">
              <w:t xml:space="preserve"> de la politique et </w:t>
            </w:r>
            <w:proofErr w:type="spellStart"/>
            <w:r w:rsidRPr="00302F36">
              <w:t>règlementation</w:t>
            </w:r>
            <w:proofErr w:type="spellEnd"/>
            <w:r w:rsidRPr="00302F36">
              <w:t xml:space="preserve"> sur </w:t>
            </w:r>
            <w:proofErr w:type="spellStart"/>
            <w:r w:rsidRPr="00302F36">
              <w:t>l’usage</w:t>
            </w:r>
            <w:proofErr w:type="spellEnd"/>
            <w:r w:rsidRPr="00302F36">
              <w:t xml:space="preserve"> des </w:t>
            </w:r>
            <w:r w:rsidR="00EC3AAF">
              <w:t>drogues</w:t>
            </w:r>
          </w:p>
          <w:p w14:paraId="58BF76D3" w14:textId="77777777" w:rsidR="00D2178D" w:rsidRDefault="00D2178D" w:rsidP="00390EA4">
            <w:pPr>
              <w:pStyle w:val="liste1"/>
            </w:pPr>
            <w:proofErr w:type="spellStart"/>
            <w:r w:rsidRPr="00302F36">
              <w:t>Organiser</w:t>
            </w:r>
            <w:proofErr w:type="spellEnd"/>
            <w:r w:rsidRPr="00302F36">
              <w:t xml:space="preserve"> de 02 séances </w:t>
            </w:r>
            <w:proofErr w:type="spellStart"/>
            <w:r w:rsidRPr="00302F36">
              <w:t>d’information</w:t>
            </w:r>
            <w:proofErr w:type="spellEnd"/>
            <w:r w:rsidRPr="00302F36">
              <w:t xml:space="preserve"> </w:t>
            </w:r>
            <w:proofErr w:type="spellStart"/>
            <w:r w:rsidRPr="00302F36">
              <w:t>parlementaires</w:t>
            </w:r>
            <w:proofErr w:type="spellEnd"/>
            <w:r w:rsidRPr="00302F36">
              <w:t xml:space="preserve"> (</w:t>
            </w:r>
            <w:proofErr w:type="spellStart"/>
            <w:r w:rsidRPr="00302F36">
              <w:t>société</w:t>
            </w:r>
            <w:proofErr w:type="spellEnd"/>
            <w:r w:rsidRPr="00302F36">
              <w:t xml:space="preserve"> </w:t>
            </w:r>
            <w:proofErr w:type="spellStart"/>
            <w:r w:rsidRPr="00302F36">
              <w:t>civile</w:t>
            </w:r>
            <w:proofErr w:type="spellEnd"/>
            <w:r w:rsidRPr="00302F36">
              <w:t xml:space="preserve">/ </w:t>
            </w:r>
            <w:proofErr w:type="spellStart"/>
            <w:r w:rsidRPr="00302F36">
              <w:t>programmes</w:t>
            </w:r>
            <w:proofErr w:type="spellEnd"/>
            <w:r w:rsidRPr="00302F36">
              <w:t xml:space="preserve"> </w:t>
            </w:r>
            <w:proofErr w:type="spellStart"/>
            <w:r w:rsidRPr="00302F36">
              <w:t>nationaux</w:t>
            </w:r>
            <w:proofErr w:type="spellEnd"/>
            <w:r w:rsidRPr="00302F36">
              <w:t>)</w:t>
            </w:r>
          </w:p>
          <w:p w14:paraId="1FF4BE3F" w14:textId="77777777" w:rsidR="00916E34" w:rsidRPr="00302F36" w:rsidRDefault="00916E34" w:rsidP="004C6EBC">
            <w:pPr>
              <w:pStyle w:val="BodyLetter"/>
            </w:pPr>
          </w:p>
          <w:p w14:paraId="443E6F71" w14:textId="77777777" w:rsidR="00D2178D" w:rsidRPr="00472BCC" w:rsidRDefault="00D2178D" w:rsidP="006F6940">
            <w:pPr>
              <w:pStyle w:val="NormalJBGS"/>
              <w:numPr>
                <w:ilvl w:val="0"/>
                <w:numId w:val="41"/>
              </w:numPr>
              <w:jc w:val="both"/>
              <w:rPr>
                <w:rFonts w:cs="Arial"/>
                <w:b/>
                <w:bCs/>
                <w:i w:val="0"/>
                <w:color w:val="404040" w:themeColor="text1"/>
                <w:sz w:val="22"/>
                <w:szCs w:val="22"/>
                <w:lang w:val="fr-FR"/>
              </w:rPr>
            </w:pPr>
            <w:r w:rsidRPr="00472BCC">
              <w:rPr>
                <w:rFonts w:cs="Arial"/>
                <w:b/>
                <w:bCs/>
                <w:i w:val="0"/>
                <w:color w:val="404040" w:themeColor="text1"/>
                <w:sz w:val="22"/>
                <w:szCs w:val="22"/>
                <w:lang w:val="fr-FR"/>
              </w:rPr>
              <w:t>Renforcement des capacités des leaders d’opinion, des institutions et acteurs clés sur les droits humains en lien avec le VIH</w:t>
            </w:r>
          </w:p>
          <w:p w14:paraId="2A462662" w14:textId="77777777" w:rsidR="00D2178D" w:rsidRPr="00750CA9" w:rsidRDefault="00D2178D" w:rsidP="00390EA4">
            <w:pPr>
              <w:pStyle w:val="Texteformulaire"/>
              <w:rPr>
                <w:lang w:val="fr-FR"/>
              </w:rPr>
            </w:pPr>
            <w:r w:rsidRPr="00750CA9">
              <w:rPr>
                <w:lang w:val="fr-FR"/>
              </w:rPr>
              <w:t>La NFM2 a permis de mettre en place un cadre de collaboration avec les acteurs communautaires, gouvernementaux et législateurs, abordant la thématique des DH pour les populations hautement vulnérables à travers l’établissement de partenariat visant à renforcer la réponse relative à la prise en charge des populations cibles.</w:t>
            </w:r>
          </w:p>
          <w:p w14:paraId="603B3965" w14:textId="70CA7DA5" w:rsidR="00D2178D" w:rsidRPr="00472BCC" w:rsidRDefault="00D2178D" w:rsidP="00390EA4">
            <w:pPr>
              <w:pStyle w:val="Texteformulaire"/>
              <w:rPr>
                <w:color w:val="FF0000"/>
              </w:rPr>
            </w:pPr>
            <w:r w:rsidRPr="00750CA9">
              <w:rPr>
                <w:lang w:val="fr-FR"/>
              </w:rPr>
              <w:t>Pour la NFM3, il est prévu de mettre en évidence le leadership de la DPJEJ qui a en charge les questions DH et VIH.</w:t>
            </w:r>
            <w:r w:rsidRPr="00750CA9">
              <w:rPr>
                <w:color w:val="FF0000"/>
                <w:lang w:val="fr-FR"/>
              </w:rPr>
              <w:t xml:space="preserve"> </w:t>
            </w:r>
            <w:r w:rsidRPr="00750CA9">
              <w:rPr>
                <w:lang w:val="fr-FR"/>
              </w:rPr>
              <w:t>Par ailleurs, la complémentarité sera renforcée avec la signature de partenariat avec d’autres acteurs communautaires.</w:t>
            </w:r>
            <w:r w:rsidR="00916E34" w:rsidRPr="00750CA9">
              <w:rPr>
                <w:lang w:val="fr-FR"/>
              </w:rPr>
              <w:t xml:space="preserve"> </w:t>
            </w:r>
            <w:r w:rsidR="00916E34">
              <w:rPr>
                <w:color w:val="000000"/>
              </w:rPr>
              <w:t xml:space="preserve">Les </w:t>
            </w:r>
            <w:proofErr w:type="spellStart"/>
            <w:r w:rsidR="00916E34">
              <w:rPr>
                <w:color w:val="000000"/>
              </w:rPr>
              <w:t>principales</w:t>
            </w:r>
            <w:proofErr w:type="spellEnd"/>
            <w:r w:rsidR="00916E34">
              <w:rPr>
                <w:color w:val="000000"/>
              </w:rPr>
              <w:t xml:space="preserve"> </w:t>
            </w:r>
            <w:proofErr w:type="spellStart"/>
            <w:r w:rsidR="00916E34">
              <w:rPr>
                <w:color w:val="000000"/>
              </w:rPr>
              <w:t>activités</w:t>
            </w:r>
            <w:proofErr w:type="spellEnd"/>
            <w:r w:rsidR="00916E34">
              <w:rPr>
                <w:color w:val="000000"/>
              </w:rPr>
              <w:t xml:space="preserve"> </w:t>
            </w:r>
            <w:proofErr w:type="spellStart"/>
            <w:proofErr w:type="gramStart"/>
            <w:r w:rsidR="00916E34">
              <w:rPr>
                <w:color w:val="000000"/>
              </w:rPr>
              <w:t>sont</w:t>
            </w:r>
            <w:proofErr w:type="spellEnd"/>
            <w:r w:rsidR="00916E34">
              <w:rPr>
                <w:color w:val="000000"/>
              </w:rPr>
              <w:t> :</w:t>
            </w:r>
            <w:proofErr w:type="gramEnd"/>
          </w:p>
          <w:p w14:paraId="5B15AF95" w14:textId="245E2B28" w:rsidR="00D2178D" w:rsidRDefault="00D2178D" w:rsidP="00390EA4">
            <w:pPr>
              <w:pStyle w:val="liste1"/>
            </w:pPr>
            <w:proofErr w:type="spellStart"/>
            <w:r w:rsidRPr="00916E34">
              <w:lastRenderedPageBreak/>
              <w:t>Apporter</w:t>
            </w:r>
            <w:proofErr w:type="spellEnd"/>
            <w:r w:rsidRPr="00916E34">
              <w:t xml:space="preserve"> un </w:t>
            </w:r>
            <w:proofErr w:type="spellStart"/>
            <w:r w:rsidRPr="00916E34">
              <w:t>appui</w:t>
            </w:r>
            <w:proofErr w:type="spellEnd"/>
            <w:r w:rsidRPr="00916E34">
              <w:t xml:space="preserve"> technique et financier à la DPJEJ pour </w:t>
            </w:r>
            <w:proofErr w:type="spellStart"/>
            <w:r w:rsidRPr="00916E34">
              <w:t>l’affirmation</w:t>
            </w:r>
            <w:proofErr w:type="spellEnd"/>
            <w:r w:rsidRPr="00916E34">
              <w:t xml:space="preserve"> de son leadership</w:t>
            </w:r>
          </w:p>
          <w:p w14:paraId="69FDC370" w14:textId="77777777" w:rsidR="00D2178D" w:rsidRDefault="00D2178D" w:rsidP="00390EA4">
            <w:pPr>
              <w:pStyle w:val="liste1"/>
            </w:pPr>
            <w:proofErr w:type="spellStart"/>
            <w:r w:rsidRPr="00916E34">
              <w:t>Créer</w:t>
            </w:r>
            <w:proofErr w:type="spellEnd"/>
            <w:r w:rsidRPr="00916E34">
              <w:t xml:space="preserve"> </w:t>
            </w:r>
            <w:proofErr w:type="spellStart"/>
            <w:r w:rsidRPr="00916E34">
              <w:t>une</w:t>
            </w:r>
            <w:proofErr w:type="spellEnd"/>
            <w:r w:rsidRPr="00916E34">
              <w:t xml:space="preserve"> </w:t>
            </w:r>
            <w:proofErr w:type="spellStart"/>
            <w:r w:rsidRPr="00916E34">
              <w:t>interopérabilité</w:t>
            </w:r>
            <w:proofErr w:type="spellEnd"/>
            <w:r w:rsidRPr="00916E34">
              <w:t xml:space="preserve"> entre les </w:t>
            </w:r>
            <w:proofErr w:type="spellStart"/>
            <w:r w:rsidRPr="00916E34">
              <w:t>outils</w:t>
            </w:r>
            <w:proofErr w:type="spellEnd"/>
            <w:r w:rsidRPr="00916E34">
              <w:t xml:space="preserve"> de rapportage des </w:t>
            </w:r>
            <w:proofErr w:type="spellStart"/>
            <w:r w:rsidRPr="00916E34">
              <w:t>différents</w:t>
            </w:r>
            <w:proofErr w:type="spellEnd"/>
            <w:r w:rsidRPr="00916E34">
              <w:t xml:space="preserve"> </w:t>
            </w:r>
            <w:proofErr w:type="spellStart"/>
            <w:r w:rsidRPr="00916E34">
              <w:t>observatoires</w:t>
            </w:r>
            <w:proofErr w:type="spellEnd"/>
          </w:p>
          <w:p w14:paraId="473F977F" w14:textId="77777777" w:rsidR="00D2178D" w:rsidRDefault="00D2178D" w:rsidP="00390EA4">
            <w:pPr>
              <w:pStyle w:val="liste1"/>
            </w:pPr>
            <w:proofErr w:type="spellStart"/>
            <w:r w:rsidRPr="00916E34">
              <w:t>Elaborer</w:t>
            </w:r>
            <w:proofErr w:type="spellEnd"/>
            <w:r w:rsidRPr="00916E34">
              <w:t xml:space="preserve"> des </w:t>
            </w:r>
            <w:proofErr w:type="spellStart"/>
            <w:r w:rsidRPr="00916E34">
              <w:t>partenariats</w:t>
            </w:r>
            <w:proofErr w:type="spellEnd"/>
            <w:r w:rsidRPr="00916E34">
              <w:t xml:space="preserve"> </w:t>
            </w:r>
            <w:proofErr w:type="spellStart"/>
            <w:r w:rsidRPr="00916E34">
              <w:t>constructifs</w:t>
            </w:r>
            <w:proofErr w:type="spellEnd"/>
            <w:r w:rsidRPr="00916E34">
              <w:t xml:space="preserve"> entre les services </w:t>
            </w:r>
            <w:proofErr w:type="spellStart"/>
            <w:r w:rsidRPr="00916E34">
              <w:t>juridiques</w:t>
            </w:r>
            <w:proofErr w:type="spellEnd"/>
            <w:r w:rsidRPr="00916E34">
              <w:t xml:space="preserve"> et les </w:t>
            </w:r>
            <w:proofErr w:type="spellStart"/>
            <w:r w:rsidRPr="00916E34">
              <w:t>organisations</w:t>
            </w:r>
            <w:proofErr w:type="spellEnd"/>
            <w:r w:rsidRPr="00916E34">
              <w:t xml:space="preserve"> </w:t>
            </w:r>
            <w:proofErr w:type="spellStart"/>
            <w:r w:rsidRPr="00916E34">
              <w:t>communautaires</w:t>
            </w:r>
            <w:proofErr w:type="spellEnd"/>
            <w:r w:rsidRPr="00916E34">
              <w:t xml:space="preserve"> </w:t>
            </w:r>
          </w:p>
          <w:p w14:paraId="2584DF5E" w14:textId="77777777" w:rsidR="00916E34" w:rsidRPr="00916E34" w:rsidRDefault="00916E34" w:rsidP="004C6EBC">
            <w:pPr>
              <w:pStyle w:val="BodyLetter"/>
            </w:pPr>
          </w:p>
          <w:p w14:paraId="6DA3CDFB" w14:textId="77777777" w:rsidR="00D2178D" w:rsidRPr="00472BCC" w:rsidRDefault="00D2178D" w:rsidP="006F6940">
            <w:pPr>
              <w:pStyle w:val="NormalJBGS"/>
              <w:numPr>
                <w:ilvl w:val="0"/>
                <w:numId w:val="41"/>
              </w:numPr>
              <w:jc w:val="both"/>
              <w:rPr>
                <w:rFonts w:cs="Arial"/>
                <w:b/>
                <w:bCs/>
                <w:i w:val="0"/>
                <w:color w:val="404040" w:themeColor="text1"/>
                <w:sz w:val="22"/>
                <w:szCs w:val="22"/>
                <w:lang w:val="fr-FR"/>
              </w:rPr>
            </w:pPr>
            <w:r w:rsidRPr="00472BCC">
              <w:rPr>
                <w:rFonts w:cs="Arial"/>
                <w:b/>
                <w:bCs/>
                <w:i w:val="0"/>
                <w:color w:val="404040" w:themeColor="text1"/>
                <w:sz w:val="22"/>
                <w:szCs w:val="22"/>
                <w:lang w:val="fr-FR"/>
              </w:rPr>
              <w:t>Réduction de la discrimination fondée sur le genre, des normes de genre nocives et de la violence contre les femmes et les filles dans toute leur diversité, en lien avec le VIH</w:t>
            </w:r>
          </w:p>
          <w:p w14:paraId="40221723" w14:textId="7D961533" w:rsidR="00D2178D" w:rsidRPr="00750CA9" w:rsidRDefault="00D2178D" w:rsidP="00390EA4">
            <w:pPr>
              <w:pStyle w:val="Texteformulaire"/>
              <w:rPr>
                <w:lang w:val="fr-FR"/>
              </w:rPr>
            </w:pPr>
            <w:r w:rsidRPr="00750CA9">
              <w:rPr>
                <w:lang w:val="fr-FR"/>
              </w:rPr>
              <w:t xml:space="preserve">Les inégalités de genre constituent l’un des obstacles importants qui limite la capacité à consulter, en particulier pour les femmes et les filles. Des attitudes, croyances et pratiques traditionnelles limitent la possibilité pour celles-ci d’accéder aux services </w:t>
            </w:r>
            <w:r w:rsidR="00D46DF8">
              <w:rPr>
                <w:lang w:val="fr-FR"/>
              </w:rPr>
              <w:t xml:space="preserve">de Prévention et PEC </w:t>
            </w:r>
            <w:r w:rsidRPr="00750CA9">
              <w:rPr>
                <w:lang w:val="fr-FR"/>
              </w:rPr>
              <w:t>VIH puis de rester dans le système de soins, ce qui accroît la vulnérabilité de cette population</w:t>
            </w:r>
            <w:r w:rsidR="00D46DF8">
              <w:rPr>
                <w:lang w:val="fr-FR"/>
              </w:rPr>
              <w:t>.</w:t>
            </w:r>
            <w:r w:rsidRPr="00750CA9">
              <w:rPr>
                <w:lang w:val="fr-FR"/>
              </w:rPr>
              <w:t xml:space="preserve"> </w:t>
            </w:r>
          </w:p>
          <w:p w14:paraId="76DE646A" w14:textId="2ABA0DEA" w:rsidR="00D2178D" w:rsidRPr="00472BCC" w:rsidRDefault="00D2178D" w:rsidP="00390EA4">
            <w:pPr>
              <w:pStyle w:val="Texteformulaire"/>
            </w:pPr>
            <w:r w:rsidRPr="00750CA9">
              <w:rPr>
                <w:lang w:val="fr-FR"/>
              </w:rPr>
              <w:t xml:space="preserve">Dans le NFM3, il s’agit de permettre aux plateformes VBG de jouer leur rôle de coordination et de creuset technique de réponse aux incidents/cas de VBG notifiés dans leur zone. </w:t>
            </w:r>
            <w:r w:rsidR="00BA6AD5">
              <w:rPr>
                <w:color w:val="000000"/>
              </w:rPr>
              <w:t xml:space="preserve">Les </w:t>
            </w:r>
            <w:proofErr w:type="spellStart"/>
            <w:r w:rsidR="00BA6AD5">
              <w:rPr>
                <w:color w:val="000000"/>
              </w:rPr>
              <w:t>principales</w:t>
            </w:r>
            <w:proofErr w:type="spellEnd"/>
            <w:r w:rsidR="00BA6AD5">
              <w:rPr>
                <w:color w:val="000000"/>
              </w:rPr>
              <w:t xml:space="preserve"> </w:t>
            </w:r>
            <w:proofErr w:type="spellStart"/>
            <w:r w:rsidR="00BA6AD5">
              <w:rPr>
                <w:color w:val="000000"/>
              </w:rPr>
              <w:t>activités</w:t>
            </w:r>
            <w:proofErr w:type="spellEnd"/>
            <w:r w:rsidR="00BA6AD5">
              <w:rPr>
                <w:color w:val="000000"/>
              </w:rPr>
              <w:t xml:space="preserve"> </w:t>
            </w:r>
            <w:proofErr w:type="spellStart"/>
            <w:proofErr w:type="gramStart"/>
            <w:r w:rsidR="00BA6AD5">
              <w:rPr>
                <w:color w:val="000000"/>
              </w:rPr>
              <w:t>sont</w:t>
            </w:r>
            <w:proofErr w:type="spellEnd"/>
            <w:r w:rsidR="00BA6AD5">
              <w:rPr>
                <w:color w:val="000000"/>
              </w:rPr>
              <w:t> :</w:t>
            </w:r>
            <w:proofErr w:type="gramEnd"/>
          </w:p>
          <w:p w14:paraId="4CBF3A62" w14:textId="4C039EAB" w:rsidR="00D2178D" w:rsidRPr="00750CA9" w:rsidRDefault="00D2178D" w:rsidP="00390EA4">
            <w:pPr>
              <w:pStyle w:val="liste1"/>
              <w:rPr>
                <w:lang w:val="fr-FR"/>
              </w:rPr>
            </w:pPr>
            <w:r w:rsidRPr="00750CA9">
              <w:rPr>
                <w:lang w:val="fr-FR"/>
              </w:rPr>
              <w:t>Appuyer le fonctionnement et le renforcement des capacités de 86 plateformes VBG</w:t>
            </w:r>
          </w:p>
          <w:p w14:paraId="5F2F8F73" w14:textId="77777777" w:rsidR="00D2178D" w:rsidRPr="00750CA9" w:rsidRDefault="00D2178D" w:rsidP="00390EA4">
            <w:pPr>
              <w:pStyle w:val="liste1"/>
              <w:rPr>
                <w:lang w:val="fr-FR"/>
              </w:rPr>
            </w:pPr>
            <w:r w:rsidRPr="00750CA9">
              <w:rPr>
                <w:lang w:val="fr-FR"/>
              </w:rPr>
              <w:t xml:space="preserve">Faire une cartographie des centres d’accueil et d’hébergement </w:t>
            </w:r>
          </w:p>
          <w:p w14:paraId="3E9F246A" w14:textId="77777777" w:rsidR="00D2178D" w:rsidRPr="00750CA9" w:rsidRDefault="00D2178D" w:rsidP="00390EA4">
            <w:pPr>
              <w:pStyle w:val="liste1"/>
              <w:rPr>
                <w:lang w:val="fr-FR"/>
              </w:rPr>
            </w:pPr>
            <w:r w:rsidRPr="00750CA9">
              <w:rPr>
                <w:lang w:val="fr-FR"/>
              </w:rPr>
              <w:t>Référencer les survivants vers les centres d’accueil et d’hébergements</w:t>
            </w:r>
          </w:p>
          <w:p w14:paraId="7A44D716" w14:textId="77777777" w:rsidR="00D2178D" w:rsidRPr="00750CA9" w:rsidRDefault="00D2178D" w:rsidP="00390EA4">
            <w:pPr>
              <w:pStyle w:val="liste1"/>
              <w:rPr>
                <w:lang w:val="fr-FR"/>
              </w:rPr>
            </w:pPr>
            <w:r w:rsidRPr="00750CA9">
              <w:rPr>
                <w:lang w:val="fr-FR"/>
              </w:rPr>
              <w:t>Assurer l’hébergement d’urgence et l’accompagnement des survivants au sein des centres</w:t>
            </w:r>
          </w:p>
          <w:p w14:paraId="42B4C0B5" w14:textId="3E5F3E4F" w:rsidR="00BA6AD5" w:rsidRPr="004C6EBC" w:rsidRDefault="00D2178D" w:rsidP="00750CA9">
            <w:pPr>
              <w:pStyle w:val="liste1"/>
              <w:rPr>
                <w:color w:val="000000"/>
              </w:rPr>
            </w:pPr>
            <w:r w:rsidRPr="00750CA9">
              <w:rPr>
                <w:lang w:val="fr-FR"/>
              </w:rPr>
              <w:t>Assurer la PEC médicale des survivants</w:t>
            </w:r>
            <w:r w:rsidR="00642473">
              <w:t xml:space="preserve"> de VBG</w:t>
            </w:r>
          </w:p>
          <w:p w14:paraId="66E62E98" w14:textId="77777777" w:rsidR="004C6EBC" w:rsidRPr="00750CA9" w:rsidRDefault="004C6EBC" w:rsidP="004C6EBC">
            <w:pPr>
              <w:pStyle w:val="BodyLetter"/>
            </w:pPr>
          </w:p>
          <w:p w14:paraId="17D611EA" w14:textId="77777777" w:rsidR="00D2178D" w:rsidRDefault="00D2178D" w:rsidP="00750CA9">
            <w:pPr>
              <w:pStyle w:val="NormalJBGS"/>
              <w:numPr>
                <w:ilvl w:val="0"/>
                <w:numId w:val="41"/>
              </w:numPr>
              <w:jc w:val="both"/>
              <w:rPr>
                <w:rFonts w:cs="Arial"/>
                <w:b/>
                <w:bCs/>
                <w:i w:val="0"/>
                <w:color w:val="404040" w:themeColor="text1"/>
                <w:sz w:val="22"/>
                <w:szCs w:val="22"/>
                <w:lang w:val="fr-FR"/>
              </w:rPr>
            </w:pPr>
            <w:r w:rsidRPr="00472BCC">
              <w:rPr>
                <w:rFonts w:cs="Arial"/>
                <w:b/>
                <w:bCs/>
                <w:i w:val="0"/>
                <w:color w:val="404040" w:themeColor="text1"/>
                <w:sz w:val="22"/>
                <w:szCs w:val="22"/>
                <w:lang w:val="fr-FR"/>
              </w:rPr>
              <w:t>Mobilisation de la communauté et activités de plaidoyer</w:t>
            </w:r>
          </w:p>
          <w:p w14:paraId="7DBB9C9D" w14:textId="676A27F3" w:rsidR="00BA6AD5" w:rsidRPr="004C6750" w:rsidRDefault="004C6750" w:rsidP="00BA6AD5">
            <w:pPr>
              <w:pStyle w:val="NormalJBGS"/>
              <w:tabs>
                <w:tab w:val="left" w:pos="1906"/>
              </w:tabs>
              <w:jc w:val="both"/>
              <w:rPr>
                <w:rFonts w:cs="Arial"/>
                <w:bCs/>
                <w:i w:val="0"/>
                <w:color w:val="404040" w:themeColor="text1"/>
                <w:sz w:val="22"/>
                <w:szCs w:val="22"/>
                <w:lang w:val="fr-FR"/>
              </w:rPr>
            </w:pPr>
            <w:r>
              <w:rPr>
                <w:rFonts w:cs="Arial"/>
                <w:bCs/>
                <w:i w:val="0"/>
                <w:color w:val="404040" w:themeColor="text1"/>
                <w:sz w:val="22"/>
                <w:szCs w:val="22"/>
                <w:lang w:val="fr-FR"/>
              </w:rPr>
              <w:t>Pou</w:t>
            </w:r>
            <w:r w:rsidR="00644D78">
              <w:rPr>
                <w:rFonts w:cs="Arial"/>
                <w:bCs/>
                <w:i w:val="0"/>
                <w:color w:val="404040" w:themeColor="text1"/>
                <w:sz w:val="22"/>
                <w:szCs w:val="22"/>
                <w:lang w:val="fr-FR"/>
              </w:rPr>
              <w:t xml:space="preserve">r mener à bien les activités Droits Humains et contribuer à créer un environnement </w:t>
            </w:r>
            <w:proofErr w:type="spellStart"/>
            <w:r w:rsidR="00644D78">
              <w:rPr>
                <w:rFonts w:cs="Arial"/>
                <w:bCs/>
                <w:i w:val="0"/>
                <w:color w:val="404040" w:themeColor="text1"/>
                <w:sz w:val="22"/>
                <w:szCs w:val="22"/>
                <w:lang w:val="fr-FR"/>
              </w:rPr>
              <w:t>socio-juridique</w:t>
            </w:r>
            <w:proofErr w:type="spellEnd"/>
            <w:r w:rsidR="00644D78">
              <w:rPr>
                <w:rFonts w:cs="Arial"/>
                <w:bCs/>
                <w:i w:val="0"/>
                <w:color w:val="404040" w:themeColor="text1"/>
                <w:sz w:val="22"/>
                <w:szCs w:val="22"/>
                <w:lang w:val="fr-FR"/>
              </w:rPr>
              <w:t xml:space="preserve"> favorable aux PVVIH et aux populations clés, il s’avère primordial de mener des activités de mobilisation de la communauté</w:t>
            </w:r>
            <w:r w:rsidR="000C6E57">
              <w:rPr>
                <w:rFonts w:cs="Arial"/>
                <w:bCs/>
                <w:i w:val="0"/>
                <w:color w:val="404040" w:themeColor="text1"/>
                <w:sz w:val="22"/>
                <w:szCs w:val="22"/>
                <w:lang w:val="fr-FR"/>
              </w:rPr>
              <w:t>. P</w:t>
            </w:r>
            <w:r w:rsidR="00644D78">
              <w:rPr>
                <w:rFonts w:cs="Arial"/>
                <w:bCs/>
                <w:i w:val="0"/>
                <w:color w:val="404040" w:themeColor="text1"/>
                <w:sz w:val="22"/>
                <w:szCs w:val="22"/>
                <w:lang w:val="fr-FR"/>
              </w:rPr>
              <w:t>our une bonne compréhension</w:t>
            </w:r>
            <w:r w:rsidR="000C6E57">
              <w:rPr>
                <w:rFonts w:cs="Arial"/>
                <w:bCs/>
                <w:i w:val="0"/>
                <w:color w:val="404040" w:themeColor="text1"/>
                <w:sz w:val="22"/>
                <w:szCs w:val="22"/>
                <w:lang w:val="fr-FR"/>
              </w:rPr>
              <w:t xml:space="preserve"> des activités Droits Humains qui sont menées par les acteurs communautaires et publics, les principales activités sont :</w:t>
            </w:r>
          </w:p>
          <w:p w14:paraId="0A7A0797" w14:textId="499F08F9" w:rsidR="00D2178D" w:rsidRPr="00BA6AD5" w:rsidRDefault="00D2178D" w:rsidP="00390EA4">
            <w:pPr>
              <w:pStyle w:val="liste1"/>
              <w:rPr>
                <w:color w:val="000000"/>
              </w:rPr>
            </w:pPr>
            <w:r w:rsidRPr="00BA6AD5">
              <w:t xml:space="preserve">Formation de leaders </w:t>
            </w:r>
            <w:proofErr w:type="spellStart"/>
            <w:r w:rsidRPr="00BA6AD5">
              <w:t>communautaires</w:t>
            </w:r>
            <w:proofErr w:type="spellEnd"/>
            <w:r w:rsidRPr="00BA6AD5">
              <w:t xml:space="preserve"> et </w:t>
            </w:r>
            <w:proofErr w:type="spellStart"/>
            <w:r w:rsidRPr="00BA6AD5">
              <w:t>d’opinion</w:t>
            </w:r>
            <w:proofErr w:type="spellEnd"/>
          </w:p>
          <w:p w14:paraId="31781156" w14:textId="77777777" w:rsidR="00D2178D" w:rsidRPr="00123AFF" w:rsidRDefault="00D2178D" w:rsidP="00390EA4">
            <w:pPr>
              <w:pStyle w:val="liste1"/>
              <w:rPr>
                <w:color w:val="000000"/>
              </w:rPr>
            </w:pPr>
            <w:proofErr w:type="spellStart"/>
            <w:r w:rsidRPr="00BA6AD5">
              <w:t>Sensibilisation</w:t>
            </w:r>
            <w:proofErr w:type="spellEnd"/>
            <w:r w:rsidRPr="00BA6AD5">
              <w:t xml:space="preserve"> sur les VBG par les leaders </w:t>
            </w:r>
            <w:proofErr w:type="spellStart"/>
            <w:r w:rsidRPr="00BA6AD5">
              <w:t>communautaires</w:t>
            </w:r>
            <w:proofErr w:type="spellEnd"/>
            <w:r w:rsidRPr="00BA6AD5">
              <w:t xml:space="preserve"> et </w:t>
            </w:r>
            <w:proofErr w:type="spellStart"/>
            <w:r w:rsidRPr="00BA6AD5">
              <w:t>décideurs</w:t>
            </w:r>
            <w:proofErr w:type="spellEnd"/>
            <w:r w:rsidRPr="00BA6AD5">
              <w:t xml:space="preserve"> </w:t>
            </w:r>
            <w:proofErr w:type="spellStart"/>
            <w:r w:rsidRPr="00BA6AD5">
              <w:t>locaux</w:t>
            </w:r>
            <w:proofErr w:type="spellEnd"/>
          </w:p>
          <w:p w14:paraId="3DD49637" w14:textId="43C7D4ED" w:rsidR="00D615E2" w:rsidRPr="00750CA9" w:rsidRDefault="00D615E2" w:rsidP="00390EA4">
            <w:pPr>
              <w:pStyle w:val="liste1"/>
              <w:rPr>
                <w:color w:val="000000"/>
              </w:rPr>
            </w:pPr>
            <w:r>
              <w:t xml:space="preserve">Ecole des </w:t>
            </w:r>
            <w:proofErr w:type="spellStart"/>
            <w:r>
              <w:t>maris</w:t>
            </w:r>
            <w:proofErr w:type="spellEnd"/>
            <w:r w:rsidR="001E5FE7">
              <w:t xml:space="preserve"> pour </w:t>
            </w:r>
            <w:proofErr w:type="spellStart"/>
            <w:r w:rsidR="001E5FE7">
              <w:t>l’implication</w:t>
            </w:r>
            <w:proofErr w:type="spellEnd"/>
            <w:r w:rsidR="001E5FE7">
              <w:t xml:space="preserve"> des hommes dans la santé de la reproduction, la </w:t>
            </w:r>
            <w:proofErr w:type="spellStart"/>
            <w:r w:rsidR="001E5FE7">
              <w:t>lutte</w:t>
            </w:r>
            <w:proofErr w:type="spellEnd"/>
            <w:r w:rsidR="001E5FE7">
              <w:t xml:space="preserve"> </w:t>
            </w:r>
            <w:proofErr w:type="spellStart"/>
            <w:r w:rsidR="001E5FE7">
              <w:t>contre</w:t>
            </w:r>
            <w:proofErr w:type="spellEnd"/>
            <w:r w:rsidR="001E5FE7">
              <w:t xml:space="preserve"> les </w:t>
            </w:r>
            <w:proofErr w:type="spellStart"/>
            <w:r w:rsidR="001E5FE7">
              <w:t>violences</w:t>
            </w:r>
            <w:proofErr w:type="spellEnd"/>
            <w:r w:rsidR="001E5FE7">
              <w:t xml:space="preserve"> </w:t>
            </w:r>
            <w:proofErr w:type="spellStart"/>
            <w:r w:rsidR="001E5FE7">
              <w:t>basées</w:t>
            </w:r>
            <w:proofErr w:type="spellEnd"/>
            <w:r w:rsidR="001E5FE7">
              <w:t xml:space="preserve"> sur le genre y </w:t>
            </w:r>
            <w:proofErr w:type="spellStart"/>
            <w:r w:rsidR="001E5FE7">
              <w:t>compris</w:t>
            </w:r>
            <w:proofErr w:type="spellEnd"/>
            <w:r w:rsidR="001E5FE7">
              <w:t xml:space="preserve"> les </w:t>
            </w:r>
            <w:proofErr w:type="spellStart"/>
            <w:r w:rsidR="001E5FE7">
              <w:t>mariages</w:t>
            </w:r>
            <w:proofErr w:type="spellEnd"/>
            <w:r w:rsidR="001E5FE7">
              <w:t xml:space="preserve"> </w:t>
            </w:r>
            <w:proofErr w:type="spellStart"/>
            <w:r w:rsidR="001E5FE7">
              <w:t>précoces</w:t>
            </w:r>
            <w:proofErr w:type="spellEnd"/>
            <w:r w:rsidR="001E5FE7">
              <w:t xml:space="preserve"> et le </w:t>
            </w:r>
            <w:proofErr w:type="spellStart"/>
            <w:r w:rsidR="001E5FE7">
              <w:t>maintien</w:t>
            </w:r>
            <w:proofErr w:type="spellEnd"/>
            <w:r w:rsidR="001E5FE7">
              <w:t xml:space="preserve"> des </w:t>
            </w:r>
            <w:proofErr w:type="spellStart"/>
            <w:r w:rsidR="001E5FE7">
              <w:t>filles</w:t>
            </w:r>
            <w:proofErr w:type="spellEnd"/>
            <w:r w:rsidR="001E5FE7">
              <w:t xml:space="preserve"> à </w:t>
            </w:r>
            <w:proofErr w:type="spellStart"/>
            <w:r w:rsidR="001E5FE7">
              <w:t>l’école</w:t>
            </w:r>
            <w:proofErr w:type="spellEnd"/>
          </w:p>
          <w:p w14:paraId="6E614F49" w14:textId="583E806F" w:rsidR="00AB286C" w:rsidRPr="009C2811" w:rsidRDefault="00642473" w:rsidP="00750CA9">
            <w:pPr>
              <w:pStyle w:val="liste1"/>
              <w:rPr>
                <w:color w:val="000000"/>
              </w:rPr>
            </w:pPr>
            <w:r>
              <w:t xml:space="preserve">Promotion de </w:t>
            </w:r>
            <w:proofErr w:type="spellStart"/>
            <w:r>
              <w:t>l’accès</w:t>
            </w:r>
            <w:proofErr w:type="spellEnd"/>
            <w:r>
              <w:t xml:space="preserve"> aux </w:t>
            </w:r>
            <w:proofErr w:type="spellStart"/>
            <w:r>
              <w:t>soins</w:t>
            </w:r>
            <w:proofErr w:type="spellEnd"/>
            <w:r>
              <w:t xml:space="preserve"> et aux droits des PSH</w:t>
            </w:r>
          </w:p>
          <w:p w14:paraId="1BAB2AFA" w14:textId="26D04B1A" w:rsidR="00AB286C" w:rsidRPr="00750CA9" w:rsidRDefault="00AB286C" w:rsidP="00750CA9">
            <w:pPr>
              <w:pStyle w:val="Texteformulaire"/>
            </w:pPr>
            <w:proofErr w:type="spellStart"/>
            <w:r w:rsidRPr="00750CA9">
              <w:t>L’ensemble</w:t>
            </w:r>
            <w:proofErr w:type="spellEnd"/>
            <w:r w:rsidRPr="00750CA9">
              <w:t xml:space="preserve"> de </w:t>
            </w:r>
            <w:proofErr w:type="spellStart"/>
            <w:r w:rsidRPr="00750CA9">
              <w:t>ces</w:t>
            </w:r>
            <w:proofErr w:type="spellEnd"/>
            <w:r w:rsidRPr="00750CA9">
              <w:t xml:space="preserve"> interventions sera </w:t>
            </w:r>
            <w:r w:rsidR="00844CC0">
              <w:t>passé</w:t>
            </w:r>
            <w:r w:rsidRPr="00750CA9">
              <w:t xml:space="preserve"> à </w:t>
            </w:r>
            <w:proofErr w:type="spellStart"/>
            <w:r w:rsidRPr="00750CA9">
              <w:t>l’échelle</w:t>
            </w:r>
            <w:proofErr w:type="spellEnd"/>
            <w:r w:rsidRPr="00750CA9">
              <w:t xml:space="preserve"> du pays</w:t>
            </w:r>
            <w:r w:rsidR="00844CC0">
              <w:t>,</w:t>
            </w:r>
            <w:r w:rsidR="00CE681E">
              <w:t xml:space="preserve"> </w:t>
            </w:r>
            <w:r w:rsidR="00844CC0">
              <w:t xml:space="preserve">avec le concours </w:t>
            </w:r>
            <w:proofErr w:type="spellStart"/>
            <w:r w:rsidR="00CE681E">
              <w:t>d</w:t>
            </w:r>
            <w:r w:rsidR="00844CC0">
              <w:t>’</w:t>
            </w:r>
            <w:r w:rsidR="00CE681E">
              <w:t>acteurs</w:t>
            </w:r>
            <w:proofErr w:type="spellEnd"/>
            <w:r w:rsidR="00CE681E">
              <w:t xml:space="preserve"> </w:t>
            </w:r>
            <w:proofErr w:type="spellStart"/>
            <w:r w:rsidR="00CE681E">
              <w:t>communautaires</w:t>
            </w:r>
            <w:proofErr w:type="spellEnd"/>
            <w:r w:rsidR="00CE681E">
              <w:t xml:space="preserve"> </w:t>
            </w:r>
            <w:proofErr w:type="spellStart"/>
            <w:r w:rsidR="00CE681E">
              <w:t>autres</w:t>
            </w:r>
            <w:proofErr w:type="spellEnd"/>
            <w:r w:rsidR="00CE681E">
              <w:t xml:space="preserve"> que les SR/SSR de </w:t>
            </w:r>
            <w:r w:rsidR="00CE681E" w:rsidRPr="00CE681E">
              <w:t>ACI</w:t>
            </w:r>
            <w:r w:rsidR="00CE681E">
              <w:t xml:space="preserve">, </w:t>
            </w:r>
            <w:proofErr w:type="spellStart"/>
            <w:r w:rsidR="00CE681E">
              <w:t>intervenants</w:t>
            </w:r>
            <w:proofErr w:type="spellEnd"/>
            <w:r w:rsidR="00CE681E">
              <w:t xml:space="preserve"> de la </w:t>
            </w:r>
            <w:proofErr w:type="spellStart"/>
            <w:r w:rsidR="00CE681E">
              <w:t>plateforme</w:t>
            </w:r>
            <w:proofErr w:type="spellEnd"/>
            <w:r w:rsidR="00CE681E">
              <w:t xml:space="preserve"> des </w:t>
            </w:r>
            <w:proofErr w:type="spellStart"/>
            <w:r w:rsidR="00CE681E">
              <w:t>réseaux</w:t>
            </w:r>
            <w:proofErr w:type="spellEnd"/>
            <w:r w:rsidR="00CE681E">
              <w:t xml:space="preserve"> et </w:t>
            </w:r>
            <w:proofErr w:type="spellStart"/>
            <w:r w:rsidR="00CE681E">
              <w:t>faitières</w:t>
            </w:r>
            <w:proofErr w:type="spellEnd"/>
            <w:r w:rsidR="00CE681E">
              <w:t xml:space="preserve"> </w:t>
            </w:r>
            <w:proofErr w:type="spellStart"/>
            <w:r w:rsidR="00CE681E">
              <w:t>nationales</w:t>
            </w:r>
            <w:proofErr w:type="spellEnd"/>
            <w:r w:rsidR="00CE681E">
              <w:t xml:space="preserve"> des OSC.</w:t>
            </w:r>
          </w:p>
        </w:tc>
      </w:tr>
      <w:tr w:rsidR="008611F9" w:rsidRPr="0037522B" w14:paraId="14AC8EFC" w14:textId="77777777" w:rsidTr="007A0F0B">
        <w:trPr>
          <w:trHeight w:val="288"/>
        </w:trPr>
        <w:tc>
          <w:tcPr>
            <w:tcW w:w="1560" w:type="dxa"/>
            <w:shd w:val="clear" w:color="auto" w:fill="F2F2F2"/>
            <w:vAlign w:val="center"/>
          </w:tcPr>
          <w:p w14:paraId="5D29E350" w14:textId="77777777" w:rsidR="008611F9" w:rsidRPr="007F7A64" w:rsidRDefault="008611F9" w:rsidP="00E80CEF">
            <w:pPr>
              <w:spacing w:after="0"/>
              <w:rPr>
                <w:b/>
              </w:rPr>
            </w:pPr>
            <w:r>
              <w:rPr>
                <w:b/>
                <w:lang w:bidi="fr-FR"/>
              </w:rPr>
              <w:lastRenderedPageBreak/>
              <w:t xml:space="preserve">Populations </w:t>
            </w:r>
            <w:proofErr w:type="spellStart"/>
            <w:r>
              <w:rPr>
                <w:b/>
                <w:lang w:bidi="fr-FR"/>
              </w:rPr>
              <w:t>prioritaires</w:t>
            </w:r>
            <w:proofErr w:type="spellEnd"/>
          </w:p>
        </w:tc>
        <w:tc>
          <w:tcPr>
            <w:tcW w:w="9240" w:type="dxa"/>
          </w:tcPr>
          <w:p w14:paraId="0F04964E" w14:textId="77777777" w:rsidR="008611F9" w:rsidRPr="00750CA9" w:rsidRDefault="008611F9" w:rsidP="00750CA9">
            <w:pPr>
              <w:pStyle w:val="liste1"/>
              <w:rPr>
                <w:lang w:val="fr-FR"/>
              </w:rPr>
            </w:pPr>
            <w:r w:rsidRPr="00750CA9">
              <w:rPr>
                <w:lang w:val="fr-FR"/>
              </w:rPr>
              <w:t>Populations clés</w:t>
            </w:r>
          </w:p>
          <w:p w14:paraId="3E06F571" w14:textId="77777777" w:rsidR="008611F9" w:rsidRPr="00750CA9" w:rsidRDefault="008611F9" w:rsidP="00750CA9">
            <w:pPr>
              <w:pStyle w:val="liste1"/>
              <w:rPr>
                <w:lang w:val="fr-FR"/>
              </w:rPr>
            </w:pPr>
            <w:r w:rsidRPr="00750CA9">
              <w:rPr>
                <w:lang w:val="fr-FR"/>
              </w:rPr>
              <w:t>Jeunes filles victimes d’exploitation sexuelle</w:t>
            </w:r>
          </w:p>
          <w:p w14:paraId="2C02D85A" w14:textId="77777777" w:rsidR="008611F9" w:rsidRPr="00750CA9" w:rsidRDefault="008611F9" w:rsidP="00750CA9">
            <w:pPr>
              <w:pStyle w:val="liste1"/>
              <w:rPr>
                <w:lang w:val="fr-FR"/>
              </w:rPr>
            </w:pPr>
            <w:r w:rsidRPr="00750CA9">
              <w:rPr>
                <w:lang w:val="fr-FR"/>
              </w:rPr>
              <w:t>Personnes vivant avec le VIH</w:t>
            </w:r>
          </w:p>
          <w:p w14:paraId="2B025CBD" w14:textId="0432C88B" w:rsidR="008611F9" w:rsidRPr="00750CA9" w:rsidRDefault="008611F9" w:rsidP="00750CA9">
            <w:pPr>
              <w:pStyle w:val="liste1"/>
              <w:rPr>
                <w:lang w:val="fr-FR"/>
              </w:rPr>
            </w:pPr>
            <w:r w:rsidRPr="00750CA9">
              <w:rPr>
                <w:lang w:val="fr-FR"/>
              </w:rPr>
              <w:t>Personnes en situation de handicap</w:t>
            </w:r>
          </w:p>
        </w:tc>
      </w:tr>
      <w:tr w:rsidR="008611F9" w:rsidRPr="0037522B" w14:paraId="23546C5A" w14:textId="77777777" w:rsidTr="007A0F0B">
        <w:trPr>
          <w:trHeight w:val="288"/>
        </w:trPr>
        <w:tc>
          <w:tcPr>
            <w:tcW w:w="1560" w:type="dxa"/>
            <w:shd w:val="clear" w:color="auto" w:fill="F2F2F2"/>
            <w:vAlign w:val="center"/>
          </w:tcPr>
          <w:p w14:paraId="3AF62899" w14:textId="77777777" w:rsidR="008611F9" w:rsidRDefault="008611F9" w:rsidP="00E80CEF">
            <w:pPr>
              <w:spacing w:after="0"/>
              <w:rPr>
                <w:b/>
              </w:rPr>
            </w:pPr>
            <w:r>
              <w:rPr>
                <w:b/>
                <w:lang w:bidi="fr-FR"/>
              </w:rPr>
              <w:t xml:space="preserve">Obstacles et </w:t>
            </w:r>
            <w:proofErr w:type="spellStart"/>
            <w:r>
              <w:rPr>
                <w:b/>
                <w:lang w:bidi="fr-FR"/>
              </w:rPr>
              <w:t>inégalités</w:t>
            </w:r>
            <w:proofErr w:type="spellEnd"/>
          </w:p>
        </w:tc>
        <w:tc>
          <w:tcPr>
            <w:tcW w:w="9240" w:type="dxa"/>
          </w:tcPr>
          <w:p w14:paraId="4685197B" w14:textId="1FDDF119" w:rsidR="000B4A17" w:rsidRPr="000B4A17" w:rsidRDefault="008611F9" w:rsidP="0046632F">
            <w:pPr>
              <w:pStyle w:val="Texteformulaire"/>
              <w:rPr>
                <w:lang w:val="fr-FR"/>
              </w:rPr>
            </w:pPr>
            <w:r w:rsidRPr="008611F9">
              <w:rPr>
                <w:lang w:val="fr-FR"/>
              </w:rPr>
              <w:t xml:space="preserve">Pour les </w:t>
            </w:r>
            <w:r w:rsidR="008772F2">
              <w:rPr>
                <w:lang w:val="fr-FR"/>
              </w:rPr>
              <w:t xml:space="preserve">Populations </w:t>
            </w:r>
            <w:r w:rsidRPr="008611F9">
              <w:rPr>
                <w:lang w:val="fr-FR"/>
              </w:rPr>
              <w:t xml:space="preserve">clés, la stigmatisation, la discrimination à la fois en communauté et de la part de </w:t>
            </w:r>
            <w:r w:rsidRPr="000B4A17">
              <w:rPr>
                <w:lang w:val="fr-FR"/>
              </w:rPr>
              <w:t>prestataires (liés aux perceptions culturelles), le manque de ressources et de connaissance en matière juridique et l’absence de services dédiés sont des obstacles à l’accès aux soins</w:t>
            </w:r>
            <w:r w:rsidR="008772F2" w:rsidRPr="000B4A17">
              <w:rPr>
                <w:lang w:val="fr-FR"/>
              </w:rPr>
              <w:t xml:space="preserve"> et aux droits</w:t>
            </w:r>
            <w:r w:rsidRPr="000B4A17">
              <w:rPr>
                <w:lang w:val="fr-FR"/>
              </w:rPr>
              <w:t xml:space="preserve">. </w:t>
            </w:r>
          </w:p>
          <w:p w14:paraId="6F62D4E7" w14:textId="5AB70400" w:rsidR="0046632F" w:rsidRPr="000B4A17" w:rsidRDefault="0046632F" w:rsidP="0046632F">
            <w:pPr>
              <w:pStyle w:val="Texteformulaire"/>
            </w:pPr>
            <w:proofErr w:type="spellStart"/>
            <w:r w:rsidRPr="00750CA9">
              <w:lastRenderedPageBreak/>
              <w:t>L’inégalité</w:t>
            </w:r>
            <w:proofErr w:type="spellEnd"/>
            <w:r w:rsidRPr="00750CA9">
              <w:t xml:space="preserve"> et la discrimination </w:t>
            </w:r>
            <w:proofErr w:type="spellStart"/>
            <w:r w:rsidRPr="00750CA9">
              <w:t>basées</w:t>
            </w:r>
            <w:proofErr w:type="spellEnd"/>
            <w:r w:rsidRPr="00750CA9">
              <w:t xml:space="preserve"> sur le </w:t>
            </w:r>
            <w:proofErr w:type="spellStart"/>
            <w:r w:rsidRPr="00750CA9">
              <w:t>sexe</w:t>
            </w:r>
            <w:proofErr w:type="spellEnd"/>
            <w:r w:rsidRPr="00750CA9">
              <w:t xml:space="preserve"> et </w:t>
            </w:r>
            <w:proofErr w:type="spellStart"/>
            <w:r w:rsidRPr="00750CA9">
              <w:t>l’identité</w:t>
            </w:r>
            <w:proofErr w:type="spellEnd"/>
            <w:r w:rsidRPr="00750CA9">
              <w:t xml:space="preserve"> de genre </w:t>
            </w:r>
            <w:proofErr w:type="spellStart"/>
            <w:r w:rsidRPr="00750CA9">
              <w:t>sont</w:t>
            </w:r>
            <w:proofErr w:type="spellEnd"/>
            <w:r w:rsidRPr="00750CA9">
              <w:t xml:space="preserve"> </w:t>
            </w:r>
            <w:proofErr w:type="spellStart"/>
            <w:r w:rsidRPr="00750CA9">
              <w:t>aussi</w:t>
            </w:r>
            <w:proofErr w:type="spellEnd"/>
            <w:r w:rsidRPr="00750CA9">
              <w:t xml:space="preserve"> des causes de </w:t>
            </w:r>
            <w:proofErr w:type="spellStart"/>
            <w:r w:rsidRPr="00750CA9">
              <w:t>vulnérabilité</w:t>
            </w:r>
            <w:proofErr w:type="spellEnd"/>
            <w:r w:rsidRPr="00750CA9">
              <w:t xml:space="preserve"> majeure à </w:t>
            </w:r>
            <w:proofErr w:type="spellStart"/>
            <w:r w:rsidRPr="00750CA9">
              <w:t>l’infection</w:t>
            </w:r>
            <w:proofErr w:type="spellEnd"/>
            <w:r w:rsidRPr="00750CA9">
              <w:t xml:space="preserve"> à VIH et </w:t>
            </w:r>
            <w:proofErr w:type="spellStart"/>
            <w:r w:rsidRPr="00750CA9">
              <w:t>rendent</w:t>
            </w:r>
            <w:proofErr w:type="spellEnd"/>
            <w:r w:rsidRPr="00750CA9">
              <w:t xml:space="preserve"> les conditions de vie des </w:t>
            </w:r>
            <w:proofErr w:type="spellStart"/>
            <w:r w:rsidRPr="00750CA9">
              <w:t>personnes</w:t>
            </w:r>
            <w:proofErr w:type="spellEnd"/>
            <w:r w:rsidRPr="00750CA9">
              <w:t xml:space="preserve"> vivant avec le VIH encore </w:t>
            </w:r>
            <w:proofErr w:type="spellStart"/>
            <w:r w:rsidRPr="00750CA9">
              <w:t>difficiles</w:t>
            </w:r>
            <w:proofErr w:type="spellEnd"/>
            <w:r w:rsidRPr="00750CA9">
              <w:t xml:space="preserve">. Le </w:t>
            </w:r>
            <w:proofErr w:type="spellStart"/>
            <w:r w:rsidRPr="00750CA9">
              <w:t>faible</w:t>
            </w:r>
            <w:proofErr w:type="spellEnd"/>
            <w:r w:rsidRPr="00750CA9">
              <w:t xml:space="preserve"> </w:t>
            </w:r>
            <w:proofErr w:type="spellStart"/>
            <w:r w:rsidRPr="00750CA9">
              <w:t>statut</w:t>
            </w:r>
            <w:proofErr w:type="spellEnd"/>
            <w:r w:rsidRPr="00750CA9">
              <w:t xml:space="preserve"> </w:t>
            </w:r>
            <w:proofErr w:type="spellStart"/>
            <w:r w:rsidRPr="00750CA9">
              <w:t>socioéconomique</w:t>
            </w:r>
            <w:proofErr w:type="spellEnd"/>
            <w:r w:rsidRPr="00750CA9">
              <w:t xml:space="preserve"> et politique des femmes </w:t>
            </w:r>
            <w:proofErr w:type="spellStart"/>
            <w:r w:rsidRPr="00750CA9">
              <w:t>doublé</w:t>
            </w:r>
            <w:proofErr w:type="spellEnd"/>
            <w:r w:rsidRPr="00750CA9">
              <w:t xml:space="preserve"> de </w:t>
            </w:r>
            <w:proofErr w:type="spellStart"/>
            <w:r w:rsidRPr="00750CA9">
              <w:t>l’analphabétisme</w:t>
            </w:r>
            <w:proofErr w:type="spellEnd"/>
            <w:r w:rsidRPr="00750CA9">
              <w:t xml:space="preserve"> les </w:t>
            </w:r>
            <w:proofErr w:type="spellStart"/>
            <w:r w:rsidRPr="00750CA9">
              <w:t>rendent</w:t>
            </w:r>
            <w:proofErr w:type="spellEnd"/>
            <w:r w:rsidRPr="00750CA9">
              <w:t xml:space="preserve"> encore plus </w:t>
            </w:r>
            <w:proofErr w:type="spellStart"/>
            <w:r w:rsidRPr="00750CA9">
              <w:t>vulnérables</w:t>
            </w:r>
            <w:proofErr w:type="spellEnd"/>
            <w:r w:rsidRPr="00750CA9">
              <w:t xml:space="preserve"> à </w:t>
            </w:r>
            <w:proofErr w:type="spellStart"/>
            <w:r w:rsidRPr="00750CA9">
              <w:t>l’infection</w:t>
            </w:r>
            <w:proofErr w:type="spellEnd"/>
            <w:r w:rsidRPr="00750CA9">
              <w:t xml:space="preserve"> à </w:t>
            </w:r>
            <w:proofErr w:type="spellStart"/>
            <w:r w:rsidRPr="00750CA9">
              <w:t>VIh</w:t>
            </w:r>
            <w:proofErr w:type="spellEnd"/>
            <w:r w:rsidRPr="00750CA9">
              <w:t xml:space="preserve"> que les hommes. Beaucoup de femmes et de </w:t>
            </w:r>
            <w:proofErr w:type="spellStart"/>
            <w:r w:rsidRPr="00750CA9">
              <w:t>filles</w:t>
            </w:r>
            <w:proofErr w:type="spellEnd"/>
            <w:r w:rsidRPr="00750CA9">
              <w:t xml:space="preserve"> ne </w:t>
            </w:r>
            <w:proofErr w:type="spellStart"/>
            <w:r w:rsidRPr="00750CA9">
              <w:t>sont</w:t>
            </w:r>
            <w:proofErr w:type="spellEnd"/>
            <w:r w:rsidRPr="00750CA9">
              <w:t xml:space="preserve"> pas </w:t>
            </w:r>
            <w:proofErr w:type="spellStart"/>
            <w:r w:rsidRPr="00750CA9">
              <w:t>en</w:t>
            </w:r>
            <w:proofErr w:type="spellEnd"/>
            <w:r w:rsidRPr="00750CA9">
              <w:t xml:space="preserve"> position de </w:t>
            </w:r>
            <w:proofErr w:type="spellStart"/>
            <w:r w:rsidRPr="00750CA9">
              <w:t>négocier</w:t>
            </w:r>
            <w:proofErr w:type="spellEnd"/>
            <w:r w:rsidRPr="00750CA9">
              <w:t xml:space="preserve"> des rapports </w:t>
            </w:r>
            <w:proofErr w:type="spellStart"/>
            <w:r w:rsidRPr="00750CA9">
              <w:t>sexuels</w:t>
            </w:r>
            <w:proofErr w:type="spellEnd"/>
            <w:r w:rsidRPr="00750CA9">
              <w:t xml:space="preserve"> protégés avec </w:t>
            </w:r>
            <w:proofErr w:type="spellStart"/>
            <w:r w:rsidRPr="00750CA9">
              <w:t>leurs</w:t>
            </w:r>
            <w:proofErr w:type="spellEnd"/>
            <w:r w:rsidRPr="00750CA9">
              <w:t xml:space="preserve"> </w:t>
            </w:r>
            <w:proofErr w:type="spellStart"/>
            <w:r w:rsidRPr="00750CA9">
              <w:t>partenaires</w:t>
            </w:r>
            <w:proofErr w:type="spellEnd"/>
            <w:r w:rsidRPr="00750CA9">
              <w:t xml:space="preserve"> </w:t>
            </w:r>
            <w:proofErr w:type="spellStart"/>
            <w:r w:rsidR="000B4A17">
              <w:t>masculins</w:t>
            </w:r>
            <w:proofErr w:type="spellEnd"/>
            <w:r w:rsidRPr="00750CA9">
              <w:t xml:space="preserve">. </w:t>
            </w:r>
            <w:proofErr w:type="spellStart"/>
            <w:r w:rsidRPr="00750CA9">
              <w:t>En</w:t>
            </w:r>
            <w:proofErr w:type="spellEnd"/>
            <w:r w:rsidRPr="00750CA9">
              <w:t xml:space="preserve"> </w:t>
            </w:r>
            <w:proofErr w:type="spellStart"/>
            <w:r w:rsidRPr="00750CA9">
              <w:t>outre</w:t>
            </w:r>
            <w:proofErr w:type="spellEnd"/>
            <w:r w:rsidRPr="00750CA9">
              <w:t xml:space="preserve">, le </w:t>
            </w:r>
            <w:proofErr w:type="spellStart"/>
            <w:r w:rsidRPr="00750CA9">
              <w:t>mariage</w:t>
            </w:r>
            <w:proofErr w:type="spellEnd"/>
            <w:r w:rsidRPr="00750CA9">
              <w:t xml:space="preserve"> </w:t>
            </w:r>
            <w:proofErr w:type="spellStart"/>
            <w:r w:rsidRPr="00750CA9">
              <w:t>précoce</w:t>
            </w:r>
            <w:proofErr w:type="spellEnd"/>
            <w:r w:rsidRPr="00750CA9">
              <w:t xml:space="preserve"> </w:t>
            </w:r>
            <w:proofErr w:type="spellStart"/>
            <w:r w:rsidRPr="00750CA9">
              <w:t>ou</w:t>
            </w:r>
            <w:proofErr w:type="spellEnd"/>
            <w:r w:rsidRPr="00750CA9">
              <w:t xml:space="preserve"> </w:t>
            </w:r>
            <w:proofErr w:type="spellStart"/>
            <w:r w:rsidRPr="00750CA9">
              <w:t>forcé</w:t>
            </w:r>
            <w:proofErr w:type="spellEnd"/>
            <w:r w:rsidRPr="00750CA9">
              <w:t xml:space="preserve"> qui </w:t>
            </w:r>
            <w:proofErr w:type="spellStart"/>
            <w:r w:rsidRPr="00750CA9">
              <w:t>est</w:t>
            </w:r>
            <w:proofErr w:type="spellEnd"/>
            <w:r w:rsidRPr="00750CA9">
              <w:t xml:space="preserve"> </w:t>
            </w:r>
            <w:proofErr w:type="spellStart"/>
            <w:r w:rsidRPr="00750CA9">
              <w:t>une</w:t>
            </w:r>
            <w:proofErr w:type="spellEnd"/>
            <w:r w:rsidRPr="00750CA9">
              <w:t xml:space="preserve"> grave violation des droits </w:t>
            </w:r>
            <w:proofErr w:type="spellStart"/>
            <w:r w:rsidRPr="00750CA9">
              <w:t>humains</w:t>
            </w:r>
            <w:proofErr w:type="spellEnd"/>
            <w:r w:rsidRPr="00750CA9">
              <w:t xml:space="preserve"> expose les femmes et les </w:t>
            </w:r>
            <w:proofErr w:type="spellStart"/>
            <w:r w:rsidRPr="00750CA9">
              <w:t>filles</w:t>
            </w:r>
            <w:proofErr w:type="spellEnd"/>
            <w:r w:rsidRPr="00750CA9">
              <w:t xml:space="preserve"> au </w:t>
            </w:r>
            <w:proofErr w:type="spellStart"/>
            <w:r w:rsidRPr="00750CA9">
              <w:t>risque</w:t>
            </w:r>
            <w:proofErr w:type="spellEnd"/>
            <w:r w:rsidRPr="00750CA9">
              <w:t xml:space="preserve"> </w:t>
            </w:r>
            <w:proofErr w:type="spellStart"/>
            <w:r w:rsidRPr="00750CA9">
              <w:t>d’infection</w:t>
            </w:r>
            <w:proofErr w:type="spellEnd"/>
            <w:r w:rsidRPr="00750CA9">
              <w:t xml:space="preserve"> à VIH et pose de </w:t>
            </w:r>
            <w:proofErr w:type="spellStart"/>
            <w:r w:rsidRPr="00750CA9">
              <w:t>sérieux</w:t>
            </w:r>
            <w:proofErr w:type="spellEnd"/>
            <w:r w:rsidRPr="00750CA9">
              <w:t xml:space="preserve"> </w:t>
            </w:r>
            <w:proofErr w:type="spellStart"/>
            <w:r w:rsidRPr="00750CA9">
              <w:t>problèmes</w:t>
            </w:r>
            <w:proofErr w:type="spellEnd"/>
            <w:r w:rsidRPr="00750CA9">
              <w:t xml:space="preserve"> de santé </w:t>
            </w:r>
            <w:proofErr w:type="spellStart"/>
            <w:r w:rsidRPr="00750CA9">
              <w:t>génésique</w:t>
            </w:r>
            <w:proofErr w:type="spellEnd"/>
            <w:r w:rsidRPr="00750CA9">
              <w:t xml:space="preserve">. </w:t>
            </w:r>
            <w:proofErr w:type="spellStart"/>
            <w:r w:rsidRPr="00750CA9">
              <w:t>En</w:t>
            </w:r>
            <w:r w:rsidR="000B4A17" w:rsidRPr="00750CA9">
              <w:t>fin</w:t>
            </w:r>
            <w:proofErr w:type="spellEnd"/>
            <w:r w:rsidRPr="00750CA9">
              <w:t xml:space="preserve">, les femmes et les </w:t>
            </w:r>
            <w:proofErr w:type="spellStart"/>
            <w:r w:rsidRPr="00750CA9">
              <w:t>filles</w:t>
            </w:r>
            <w:proofErr w:type="spellEnd"/>
            <w:r w:rsidRPr="00750CA9">
              <w:t xml:space="preserve"> </w:t>
            </w:r>
            <w:proofErr w:type="spellStart"/>
            <w:r w:rsidRPr="00750CA9">
              <w:t>sont</w:t>
            </w:r>
            <w:proofErr w:type="spellEnd"/>
            <w:r w:rsidRPr="00750CA9">
              <w:t xml:space="preserve"> </w:t>
            </w:r>
            <w:proofErr w:type="spellStart"/>
            <w:r w:rsidRPr="00750CA9">
              <w:t>confrontées</w:t>
            </w:r>
            <w:proofErr w:type="spellEnd"/>
            <w:r w:rsidRPr="00750CA9">
              <w:t xml:space="preserve"> à des </w:t>
            </w:r>
            <w:proofErr w:type="spellStart"/>
            <w:r w:rsidRPr="00750CA9">
              <w:t>taux</w:t>
            </w:r>
            <w:proofErr w:type="spellEnd"/>
            <w:r w:rsidRPr="00750CA9">
              <w:t xml:space="preserve"> </w:t>
            </w:r>
            <w:proofErr w:type="spellStart"/>
            <w:r w:rsidRPr="00750CA9">
              <w:t>élevés</w:t>
            </w:r>
            <w:proofErr w:type="spellEnd"/>
            <w:r w:rsidRPr="00750CA9">
              <w:t xml:space="preserve"> de violence </w:t>
            </w:r>
            <w:proofErr w:type="spellStart"/>
            <w:r w:rsidRPr="00750CA9">
              <w:t>basée</w:t>
            </w:r>
            <w:proofErr w:type="spellEnd"/>
            <w:r w:rsidRPr="00750CA9">
              <w:t xml:space="preserve"> sur le genre</w:t>
            </w:r>
            <w:r w:rsidR="000B4A17">
              <w:t xml:space="preserve"> </w:t>
            </w:r>
            <w:r w:rsidR="000B4A17" w:rsidRPr="004C6EBC">
              <w:rPr>
                <w:i/>
                <w:iCs/>
              </w:rPr>
              <w:t>(</w:t>
            </w:r>
            <w:proofErr w:type="spellStart"/>
            <w:r w:rsidR="004C6EBC" w:rsidRPr="0002374C">
              <w:rPr>
                <w:i/>
              </w:rPr>
              <w:t>Annexe</w:t>
            </w:r>
            <w:proofErr w:type="spellEnd"/>
            <w:r w:rsidR="004C6EBC" w:rsidRPr="0002374C">
              <w:rPr>
                <w:i/>
              </w:rPr>
              <w:t xml:space="preserve"> </w:t>
            </w:r>
            <w:r w:rsidR="004C6EBC">
              <w:rPr>
                <w:i/>
              </w:rPr>
              <w:t>30</w:t>
            </w:r>
            <w:r w:rsidR="004C6EBC" w:rsidRPr="0002374C">
              <w:rPr>
                <w:i/>
              </w:rPr>
              <w:t>)</w:t>
            </w:r>
            <w:r w:rsidRPr="00750CA9">
              <w:t>.</w:t>
            </w:r>
          </w:p>
          <w:p w14:paraId="3F3F089A" w14:textId="388BAC8A" w:rsidR="0046632F" w:rsidRDefault="008611F9" w:rsidP="007A0F0B">
            <w:pPr>
              <w:pStyle w:val="Texteformulaire"/>
              <w:rPr>
                <w:lang w:val="fr-FR"/>
              </w:rPr>
            </w:pPr>
            <w:r w:rsidRPr="000B4A17">
              <w:rPr>
                <w:lang w:val="fr-FR"/>
              </w:rPr>
              <w:t>Les</w:t>
            </w:r>
            <w:r w:rsidR="0046632F" w:rsidRPr="000B4A17">
              <w:rPr>
                <w:lang w:val="fr-FR"/>
              </w:rPr>
              <w:t xml:space="preserve"> interventions</w:t>
            </w:r>
            <w:r w:rsidRPr="000B4A17">
              <w:rPr>
                <w:lang w:val="fr-FR"/>
              </w:rPr>
              <w:t xml:space="preserve"> déployé</w:t>
            </w:r>
            <w:r w:rsidR="0046632F" w:rsidRPr="000B4A17">
              <w:rPr>
                <w:lang w:val="fr-FR"/>
              </w:rPr>
              <w:t>e</w:t>
            </w:r>
            <w:r w:rsidRPr="000B4A17">
              <w:rPr>
                <w:lang w:val="fr-FR"/>
              </w:rPr>
              <w:t xml:space="preserve">s </w:t>
            </w:r>
            <w:r w:rsidR="008772F2" w:rsidRPr="000B4A17">
              <w:rPr>
                <w:lang w:val="fr-FR"/>
              </w:rPr>
              <w:t xml:space="preserve">à ce jour </w:t>
            </w:r>
            <w:r w:rsidRPr="000B4A17">
              <w:rPr>
                <w:lang w:val="fr-FR"/>
              </w:rPr>
              <w:t>pour répondre à ces</w:t>
            </w:r>
            <w:r w:rsidR="0046632F" w:rsidRPr="000B4A17">
              <w:rPr>
                <w:lang w:val="fr-FR"/>
              </w:rPr>
              <w:t xml:space="preserve"> défis</w:t>
            </w:r>
            <w:r w:rsidRPr="000B4A17">
              <w:rPr>
                <w:lang w:val="fr-FR"/>
              </w:rPr>
              <w:t xml:space="preserve"> </w:t>
            </w:r>
            <w:r w:rsidR="008772F2" w:rsidRPr="000B4A17">
              <w:rPr>
                <w:lang w:val="fr-FR"/>
              </w:rPr>
              <w:t xml:space="preserve">se </w:t>
            </w:r>
            <w:r w:rsidRPr="000B4A17">
              <w:rPr>
                <w:lang w:val="fr-FR"/>
              </w:rPr>
              <w:t xml:space="preserve">sont limités </w:t>
            </w:r>
            <w:r w:rsidR="008772F2" w:rsidRPr="000B4A17">
              <w:rPr>
                <w:lang w:val="fr-FR"/>
              </w:rPr>
              <w:t xml:space="preserve">à </w:t>
            </w:r>
            <w:r w:rsidRPr="000B4A17">
              <w:rPr>
                <w:lang w:val="fr-FR"/>
              </w:rPr>
              <w:t xml:space="preserve">39 districts sanitaires et rencontrent encore de </w:t>
            </w:r>
            <w:r w:rsidR="0046632F" w:rsidRPr="000B4A17">
              <w:rPr>
                <w:lang w:val="fr-FR"/>
              </w:rPr>
              <w:t>nombreuses</w:t>
            </w:r>
            <w:r w:rsidRPr="000B4A17">
              <w:rPr>
                <w:lang w:val="fr-FR"/>
              </w:rPr>
              <w:t xml:space="preserve"> d</w:t>
            </w:r>
            <w:r w:rsidR="0046632F" w:rsidRPr="000B4A17">
              <w:rPr>
                <w:lang w:val="fr-FR"/>
              </w:rPr>
              <w:t>ifficultés</w:t>
            </w:r>
            <w:r w:rsidR="0046632F">
              <w:rPr>
                <w:lang w:val="fr-FR"/>
              </w:rPr>
              <w:t xml:space="preserve"> dans leur mise en </w:t>
            </w:r>
            <w:proofErr w:type="spellStart"/>
            <w:r w:rsidR="0046632F">
              <w:rPr>
                <w:lang w:val="fr-FR"/>
              </w:rPr>
              <w:t>oeuvre</w:t>
            </w:r>
            <w:proofErr w:type="spellEnd"/>
            <w:r w:rsidRPr="008611F9">
              <w:rPr>
                <w:lang w:val="fr-FR"/>
              </w:rPr>
              <w:t xml:space="preserve">. </w:t>
            </w:r>
          </w:p>
          <w:p w14:paraId="0457499E" w14:textId="799AA5FB" w:rsidR="0046632F" w:rsidRDefault="008611F9" w:rsidP="007A0F0B">
            <w:pPr>
              <w:pStyle w:val="Texteformulaire"/>
              <w:rPr>
                <w:lang w:val="fr-FR"/>
              </w:rPr>
            </w:pPr>
            <w:r w:rsidRPr="008611F9">
              <w:rPr>
                <w:lang w:val="fr-FR"/>
              </w:rPr>
              <w:t xml:space="preserve">L’extension </w:t>
            </w:r>
            <w:r w:rsidR="0046632F">
              <w:rPr>
                <w:lang w:val="fr-FR"/>
              </w:rPr>
              <w:t xml:space="preserve">des interventions dans le cadre du NFM3 </w:t>
            </w:r>
            <w:r w:rsidR="008772F2">
              <w:rPr>
                <w:lang w:val="fr-FR"/>
              </w:rPr>
              <w:t>couvrira</w:t>
            </w:r>
            <w:r w:rsidRPr="008611F9">
              <w:rPr>
                <w:lang w:val="fr-FR"/>
              </w:rPr>
              <w:t xml:space="preserve"> 47 nouveaux districts</w:t>
            </w:r>
            <w:r w:rsidR="008772F2">
              <w:rPr>
                <w:lang w:val="fr-FR"/>
              </w:rPr>
              <w:t xml:space="preserve"> sanitaires, avec : (i) </w:t>
            </w:r>
            <w:r w:rsidRPr="008611F9">
              <w:rPr>
                <w:lang w:val="fr-FR"/>
              </w:rPr>
              <w:t xml:space="preserve">l’intégration des questions   </w:t>
            </w:r>
            <w:r w:rsidR="008772F2">
              <w:rPr>
                <w:lang w:val="fr-FR"/>
              </w:rPr>
              <w:t xml:space="preserve">de </w:t>
            </w:r>
            <w:r w:rsidRPr="008611F9">
              <w:rPr>
                <w:lang w:val="fr-FR"/>
              </w:rPr>
              <w:t xml:space="preserve">droits humains et </w:t>
            </w:r>
            <w:r w:rsidR="008772F2">
              <w:rPr>
                <w:lang w:val="fr-FR"/>
              </w:rPr>
              <w:t>d’</w:t>
            </w:r>
            <w:r w:rsidRPr="008611F9">
              <w:rPr>
                <w:lang w:val="fr-FR"/>
              </w:rPr>
              <w:t>accès au traitement</w:t>
            </w:r>
            <w:r w:rsidR="009C2811">
              <w:rPr>
                <w:lang w:val="fr-FR"/>
              </w:rPr>
              <w:t xml:space="preserve"> ; </w:t>
            </w:r>
            <w:r w:rsidR="008772F2">
              <w:rPr>
                <w:lang w:val="fr-FR"/>
              </w:rPr>
              <w:t>(ii)</w:t>
            </w:r>
            <w:r w:rsidRPr="008611F9">
              <w:rPr>
                <w:lang w:val="fr-FR"/>
              </w:rPr>
              <w:t xml:space="preserve"> une meilleure visibilité des recours offerts par le programme</w:t>
            </w:r>
            <w:r w:rsidR="009C2811">
              <w:rPr>
                <w:lang w:val="fr-FR"/>
              </w:rPr>
              <w:t> ;</w:t>
            </w:r>
            <w:r w:rsidRPr="008611F9">
              <w:rPr>
                <w:lang w:val="fr-FR"/>
              </w:rPr>
              <w:t xml:space="preserve"> </w:t>
            </w:r>
            <w:r w:rsidR="008772F2">
              <w:rPr>
                <w:lang w:val="fr-FR"/>
              </w:rPr>
              <w:t xml:space="preserve">(iii) </w:t>
            </w:r>
            <w:r w:rsidRPr="008611F9">
              <w:rPr>
                <w:lang w:val="fr-FR"/>
              </w:rPr>
              <w:t>le renforcement des connaissances et aptitudes des législateurs et hommes d’application des lois</w:t>
            </w:r>
            <w:r w:rsidR="009C2811">
              <w:rPr>
                <w:lang w:val="fr-FR"/>
              </w:rPr>
              <w:t> ;</w:t>
            </w:r>
            <w:r w:rsidRPr="008611F9">
              <w:rPr>
                <w:lang w:val="fr-FR"/>
              </w:rPr>
              <w:t xml:space="preserve"> </w:t>
            </w:r>
            <w:r w:rsidR="008772F2">
              <w:rPr>
                <w:lang w:val="fr-FR"/>
              </w:rPr>
              <w:t xml:space="preserve">(iv) </w:t>
            </w:r>
            <w:r w:rsidRPr="008611F9">
              <w:rPr>
                <w:lang w:val="fr-FR"/>
              </w:rPr>
              <w:t>une meilleure implication des leaders communautaires</w:t>
            </w:r>
            <w:r w:rsidR="008772F2">
              <w:rPr>
                <w:lang w:val="fr-FR"/>
              </w:rPr>
              <w:t> ;</w:t>
            </w:r>
            <w:r w:rsidRPr="008611F9">
              <w:rPr>
                <w:lang w:val="fr-FR"/>
              </w:rPr>
              <w:t xml:space="preserve"> et</w:t>
            </w:r>
            <w:r w:rsidR="008772F2">
              <w:rPr>
                <w:lang w:val="fr-FR"/>
              </w:rPr>
              <w:t xml:space="preserve"> (v)</w:t>
            </w:r>
            <w:r w:rsidRPr="008611F9">
              <w:rPr>
                <w:lang w:val="fr-FR"/>
              </w:rPr>
              <w:t xml:space="preserve"> la capacitation des groupes cibles sur ces </w:t>
            </w:r>
            <w:r w:rsidR="008772F2">
              <w:rPr>
                <w:lang w:val="fr-FR"/>
              </w:rPr>
              <w:t xml:space="preserve">thématiques. </w:t>
            </w:r>
          </w:p>
          <w:p w14:paraId="10804143" w14:textId="2C4DC575" w:rsidR="00D46DF8" w:rsidRPr="009F1065" w:rsidRDefault="008772F2" w:rsidP="009F1065">
            <w:pPr>
              <w:pStyle w:val="Texteformulaire"/>
              <w:rPr>
                <w:lang w:val="fr-FR"/>
              </w:rPr>
            </w:pPr>
            <w:r>
              <w:rPr>
                <w:lang w:val="fr-FR"/>
              </w:rPr>
              <w:t xml:space="preserve">L’ensemble de ces activités </w:t>
            </w:r>
            <w:r w:rsidR="008611F9" w:rsidRPr="008611F9">
              <w:rPr>
                <w:lang w:val="fr-FR"/>
              </w:rPr>
              <w:t>permettr</w:t>
            </w:r>
            <w:r>
              <w:rPr>
                <w:lang w:val="fr-FR"/>
              </w:rPr>
              <w:t>a</w:t>
            </w:r>
            <w:r w:rsidR="008611F9" w:rsidRPr="008611F9">
              <w:rPr>
                <w:lang w:val="fr-FR"/>
              </w:rPr>
              <w:t xml:space="preserve"> d’améliorer l’environnement social, culturel et politique en faveur des</w:t>
            </w:r>
            <w:r>
              <w:rPr>
                <w:lang w:val="fr-FR"/>
              </w:rPr>
              <w:t xml:space="preserve"> populations clés et</w:t>
            </w:r>
            <w:r w:rsidR="008611F9" w:rsidRPr="008611F9">
              <w:rPr>
                <w:lang w:val="fr-FR"/>
              </w:rPr>
              <w:t xml:space="preserve"> vulnérables.</w:t>
            </w:r>
          </w:p>
        </w:tc>
      </w:tr>
      <w:tr w:rsidR="008611F9" w:rsidRPr="0037522B" w14:paraId="17CA9935" w14:textId="77777777" w:rsidTr="007A0F0B">
        <w:trPr>
          <w:trHeight w:val="288"/>
        </w:trPr>
        <w:tc>
          <w:tcPr>
            <w:tcW w:w="1560" w:type="dxa"/>
            <w:shd w:val="clear" w:color="auto" w:fill="F2F2F2"/>
            <w:vAlign w:val="center"/>
          </w:tcPr>
          <w:p w14:paraId="78CD7755" w14:textId="77777777" w:rsidR="008611F9" w:rsidRPr="007F7A64" w:rsidRDefault="008611F9" w:rsidP="00E80CEF">
            <w:pPr>
              <w:spacing w:after="0"/>
              <w:rPr>
                <w:b/>
              </w:rPr>
            </w:pPr>
            <w:r>
              <w:rPr>
                <w:b/>
                <w:lang w:bidi="fr-FR"/>
              </w:rPr>
              <w:lastRenderedPageBreak/>
              <w:t>Justification</w:t>
            </w:r>
            <w:r>
              <w:rPr>
                <w:b/>
                <w:lang w:bidi="fr-FR"/>
              </w:rPr>
              <w:tab/>
            </w:r>
          </w:p>
        </w:tc>
        <w:tc>
          <w:tcPr>
            <w:tcW w:w="9240" w:type="dxa"/>
          </w:tcPr>
          <w:p w14:paraId="439E0206" w14:textId="77777777" w:rsidR="008611F9" w:rsidRPr="007A0F0B" w:rsidRDefault="008611F9" w:rsidP="007A0F0B">
            <w:pPr>
              <w:pStyle w:val="Texteformulaire"/>
              <w:rPr>
                <w:lang w:val="fr-FR"/>
              </w:rPr>
            </w:pPr>
            <w:r w:rsidRPr="007A0F0B">
              <w:rPr>
                <w:lang w:val="fr-FR"/>
              </w:rPr>
              <w:t>Les questions de droits comme obstacles à l’accès aux services de santé ont été mises en exergue dans de nombreuses analyses :</w:t>
            </w:r>
          </w:p>
          <w:p w14:paraId="1FC086E9" w14:textId="14045351" w:rsidR="008611F9" w:rsidRPr="00750CA9" w:rsidRDefault="008611F9" w:rsidP="007A0F0B">
            <w:pPr>
              <w:pStyle w:val="liste1"/>
              <w:rPr>
                <w:lang w:val="fr-FR"/>
              </w:rPr>
            </w:pPr>
            <w:r w:rsidRPr="00750CA9">
              <w:rPr>
                <w:lang w:val="fr-FR"/>
              </w:rPr>
              <w:t>L’enquête CIPHIA 2018</w:t>
            </w:r>
            <w:r w:rsidR="00EB57FB">
              <w:rPr>
                <w:lang w:val="fr-FR"/>
              </w:rPr>
              <w:t xml:space="preserve"> </w:t>
            </w:r>
            <w:r w:rsidR="004C6EBC" w:rsidRPr="004C6EBC">
              <w:rPr>
                <w:i/>
                <w:iCs/>
                <w:lang w:val="fr-FR"/>
              </w:rPr>
              <w:t>(</w:t>
            </w:r>
            <w:proofErr w:type="spellStart"/>
            <w:r w:rsidR="004C6EBC" w:rsidRPr="0002374C">
              <w:rPr>
                <w:i/>
              </w:rPr>
              <w:t>Annexe</w:t>
            </w:r>
            <w:proofErr w:type="spellEnd"/>
            <w:r w:rsidR="004C6EBC" w:rsidRPr="0002374C">
              <w:rPr>
                <w:i/>
              </w:rPr>
              <w:t xml:space="preserve"> </w:t>
            </w:r>
            <w:r w:rsidR="004C6EBC">
              <w:rPr>
                <w:i/>
              </w:rPr>
              <w:t>4</w:t>
            </w:r>
            <w:r w:rsidR="004C6EBC" w:rsidRPr="0002374C">
              <w:rPr>
                <w:i/>
              </w:rPr>
              <w:t>)</w:t>
            </w:r>
            <w:r w:rsidRPr="00EB57FB">
              <w:rPr>
                <w:color w:val="0070C0"/>
                <w:lang w:val="fr-FR"/>
              </w:rPr>
              <w:t xml:space="preserve"> </w:t>
            </w:r>
            <w:r w:rsidRPr="00750CA9">
              <w:rPr>
                <w:lang w:val="fr-FR"/>
              </w:rPr>
              <w:t>donn</w:t>
            </w:r>
            <w:r w:rsidR="00A86E67">
              <w:rPr>
                <w:lang w:val="fr-FR"/>
              </w:rPr>
              <w:t>ait</w:t>
            </w:r>
            <w:r w:rsidRPr="00750CA9">
              <w:rPr>
                <w:lang w:val="fr-FR"/>
              </w:rPr>
              <w:t xml:space="preserve"> une prévalence de 2</w:t>
            </w:r>
            <w:r w:rsidR="00A86E67">
              <w:rPr>
                <w:lang w:val="fr-FR"/>
              </w:rPr>
              <w:t>,</w:t>
            </w:r>
            <w:r w:rsidRPr="00750CA9">
              <w:rPr>
                <w:lang w:val="fr-FR"/>
              </w:rPr>
              <w:t xml:space="preserve">9% dans la population générale. Chez les populations </w:t>
            </w:r>
            <w:r w:rsidR="000B4A17">
              <w:rPr>
                <w:lang w:val="fr-FR"/>
              </w:rPr>
              <w:t>clés,</w:t>
            </w:r>
            <w:r w:rsidRPr="00750CA9">
              <w:rPr>
                <w:lang w:val="fr-FR"/>
              </w:rPr>
              <w:t xml:space="preserve"> on enregistre des taux de 2 ou 3 fois supérieurs (</w:t>
            </w:r>
            <w:proofErr w:type="spellStart"/>
            <w:r w:rsidR="004C6EBC" w:rsidRPr="0002374C">
              <w:rPr>
                <w:i/>
              </w:rPr>
              <w:t>Annexe</w:t>
            </w:r>
            <w:proofErr w:type="spellEnd"/>
            <w:r w:rsidR="004C6EBC" w:rsidRPr="0002374C">
              <w:rPr>
                <w:i/>
              </w:rPr>
              <w:t xml:space="preserve"> </w:t>
            </w:r>
            <w:r w:rsidR="004C6EBC">
              <w:rPr>
                <w:i/>
              </w:rPr>
              <w:t>3</w:t>
            </w:r>
            <w:r w:rsidR="004C6EBC" w:rsidRPr="0002374C">
              <w:rPr>
                <w:i/>
              </w:rPr>
              <w:t>)</w:t>
            </w:r>
          </w:p>
          <w:p w14:paraId="38044D3F" w14:textId="4FA94428" w:rsidR="008611F9" w:rsidRPr="00750CA9" w:rsidRDefault="00A86E67" w:rsidP="007A0F0B">
            <w:pPr>
              <w:pStyle w:val="liste1"/>
              <w:rPr>
                <w:lang w:val="fr-FR"/>
              </w:rPr>
            </w:pPr>
            <w:r>
              <w:rPr>
                <w:lang w:val="fr-FR"/>
              </w:rPr>
              <w:t>L’</w:t>
            </w:r>
            <w:r w:rsidR="008611F9" w:rsidRPr="00750CA9">
              <w:rPr>
                <w:lang w:val="fr-FR"/>
              </w:rPr>
              <w:t>Ind</w:t>
            </w:r>
            <w:r>
              <w:rPr>
                <w:lang w:val="fr-FR"/>
              </w:rPr>
              <w:t>ice de</w:t>
            </w:r>
            <w:r w:rsidR="008611F9" w:rsidRPr="00750CA9">
              <w:rPr>
                <w:lang w:val="fr-FR"/>
              </w:rPr>
              <w:t xml:space="preserve"> </w:t>
            </w:r>
            <w:r>
              <w:rPr>
                <w:lang w:val="fr-FR"/>
              </w:rPr>
              <w:t>S</w:t>
            </w:r>
            <w:r w:rsidR="008611F9" w:rsidRPr="00750CA9">
              <w:rPr>
                <w:lang w:val="fr-FR"/>
              </w:rPr>
              <w:t>tigma</w:t>
            </w:r>
            <w:r>
              <w:rPr>
                <w:lang w:val="fr-FR"/>
              </w:rPr>
              <w:t>tisation</w:t>
            </w:r>
            <w:r w:rsidR="008611F9" w:rsidRPr="00750CA9">
              <w:rPr>
                <w:lang w:val="fr-FR"/>
              </w:rPr>
              <w:t xml:space="preserve"> </w:t>
            </w:r>
            <w:r>
              <w:rPr>
                <w:lang w:val="fr-FR"/>
              </w:rPr>
              <w:t xml:space="preserve">de </w:t>
            </w:r>
            <w:r w:rsidR="008611F9" w:rsidRPr="00750CA9">
              <w:rPr>
                <w:lang w:val="fr-FR"/>
              </w:rPr>
              <w:t>2016</w:t>
            </w:r>
            <w:r w:rsidR="00EB57FB">
              <w:rPr>
                <w:lang w:val="fr-FR"/>
              </w:rPr>
              <w:t xml:space="preserve"> </w:t>
            </w:r>
            <w:r w:rsidR="004C6EBC">
              <w:rPr>
                <w:lang w:val="fr-FR"/>
              </w:rPr>
              <w:t>(</w:t>
            </w:r>
            <w:proofErr w:type="spellStart"/>
            <w:r w:rsidR="004C6EBC" w:rsidRPr="0002374C">
              <w:rPr>
                <w:i/>
              </w:rPr>
              <w:t>Annexe</w:t>
            </w:r>
            <w:proofErr w:type="spellEnd"/>
            <w:r w:rsidR="004C6EBC" w:rsidRPr="0002374C">
              <w:rPr>
                <w:i/>
              </w:rPr>
              <w:t xml:space="preserve"> </w:t>
            </w:r>
            <w:r w:rsidR="004C6EBC">
              <w:rPr>
                <w:i/>
              </w:rPr>
              <w:t>18</w:t>
            </w:r>
            <w:r w:rsidR="004C6EBC" w:rsidRPr="0002374C">
              <w:rPr>
                <w:i/>
              </w:rPr>
              <w:t>)</w:t>
            </w:r>
            <w:r w:rsidR="004C6EBC">
              <w:rPr>
                <w:i/>
              </w:rPr>
              <w:t xml:space="preserve"> </w:t>
            </w:r>
            <w:r w:rsidR="008611F9" w:rsidRPr="00750CA9">
              <w:rPr>
                <w:lang w:val="fr-FR"/>
              </w:rPr>
              <w:t>: 2,4% des PVVIH ont fait l’objet de stigmatisation et de discrimination de la part du personnel de santé</w:t>
            </w:r>
          </w:p>
          <w:p w14:paraId="181430FF" w14:textId="29B257BC" w:rsidR="008611F9" w:rsidRPr="00750CA9" w:rsidRDefault="008611F9" w:rsidP="007A0F0B">
            <w:pPr>
              <w:pStyle w:val="liste1"/>
              <w:rPr>
                <w:lang w:val="fr-FR"/>
              </w:rPr>
            </w:pPr>
            <w:r w:rsidRPr="00750CA9">
              <w:rPr>
                <w:lang w:val="fr-FR"/>
              </w:rPr>
              <w:t>Evaluation du cadre légal 2017</w:t>
            </w:r>
            <w:r w:rsidR="004C6EBC">
              <w:rPr>
                <w:lang w:val="fr-FR"/>
              </w:rPr>
              <w:t xml:space="preserve"> </w:t>
            </w:r>
            <w:r w:rsidR="004C6EBC">
              <w:rPr>
                <w:i/>
                <w:iCs/>
                <w:lang w:val="fr-FR"/>
              </w:rPr>
              <w:t>(</w:t>
            </w:r>
            <w:r w:rsidR="004C6EBC" w:rsidRPr="0002374C">
              <w:rPr>
                <w:i/>
              </w:rPr>
              <w:t>Annexe</w:t>
            </w:r>
            <w:r w:rsidR="004C6EBC">
              <w:rPr>
                <w:i/>
              </w:rPr>
              <w:t>s</w:t>
            </w:r>
            <w:r w:rsidR="004C6EBC" w:rsidRPr="0002374C">
              <w:rPr>
                <w:i/>
              </w:rPr>
              <w:t xml:space="preserve"> </w:t>
            </w:r>
            <w:r w:rsidR="004C6EBC">
              <w:rPr>
                <w:i/>
              </w:rPr>
              <w:t>9</w:t>
            </w:r>
            <w:r w:rsidR="004C6EBC" w:rsidRPr="0002374C">
              <w:rPr>
                <w:i/>
              </w:rPr>
              <w:t>)</w:t>
            </w:r>
            <w:r w:rsidRPr="00750CA9">
              <w:rPr>
                <w:lang w:val="fr-FR"/>
              </w:rPr>
              <w:t> : L’accès à justice des populations Générale et plus spécifiquement des populations vulnérables est freinée par : (i) la Corruption, manque de confiance aux fonctionnaires qui animent l’appareil judiciaire</w:t>
            </w:r>
            <w:r w:rsidR="009C2811">
              <w:rPr>
                <w:lang w:val="fr-FR"/>
              </w:rPr>
              <w:t> ;</w:t>
            </w:r>
            <w:r w:rsidRPr="00750CA9">
              <w:rPr>
                <w:lang w:val="fr-FR"/>
              </w:rPr>
              <w:t xml:space="preserve"> (ii) la Connaissance insuffisante des mécanismes judiciaires de la part de la population</w:t>
            </w:r>
            <w:r w:rsidR="009C2811">
              <w:rPr>
                <w:lang w:val="fr-FR"/>
              </w:rPr>
              <w:t> ;</w:t>
            </w:r>
            <w:r w:rsidRPr="00750CA9">
              <w:rPr>
                <w:lang w:val="fr-FR"/>
              </w:rPr>
              <w:t xml:space="preserve"> (iii) la Connaissance insuffisante de la loi et des principes des droits de l’Homme de la part de la population</w:t>
            </w:r>
            <w:r w:rsidR="009C2811">
              <w:rPr>
                <w:lang w:val="fr-FR"/>
              </w:rPr>
              <w:t xml:space="preserve"> ; </w:t>
            </w:r>
            <w:r w:rsidRPr="00750CA9">
              <w:rPr>
                <w:lang w:val="fr-FR"/>
              </w:rPr>
              <w:t>et la (iv) la lourdeur des procédures administratives et judiciaires qui décourage les justiciables</w:t>
            </w:r>
          </w:p>
          <w:p w14:paraId="59A86893" w14:textId="7C983C56" w:rsidR="008611F9" w:rsidRPr="00750CA9" w:rsidRDefault="008611F9" w:rsidP="007A0F0B">
            <w:pPr>
              <w:pStyle w:val="liste1"/>
              <w:rPr>
                <w:lang w:val="fr-FR"/>
              </w:rPr>
            </w:pPr>
            <w:r w:rsidRPr="00750CA9">
              <w:rPr>
                <w:lang w:val="fr-FR"/>
              </w:rPr>
              <w:t>Evaluation de référence pour le déploiement à grande échelle des programmes visant à réduire les obstacles liés aux DH qui entravent l’accès aux services de lutte contre le VIH et la TB (2018)</w:t>
            </w:r>
            <w:r w:rsidR="00EB57FB">
              <w:rPr>
                <w:lang w:val="fr-FR"/>
              </w:rPr>
              <w:t xml:space="preserve"> </w:t>
            </w:r>
            <w:r w:rsidR="004C6EBC">
              <w:rPr>
                <w:i/>
                <w:iCs/>
                <w:lang w:val="fr-FR"/>
              </w:rPr>
              <w:t>(</w:t>
            </w:r>
            <w:proofErr w:type="spellStart"/>
            <w:r w:rsidR="004C6EBC" w:rsidRPr="0002374C">
              <w:rPr>
                <w:i/>
              </w:rPr>
              <w:t>Annexe</w:t>
            </w:r>
            <w:proofErr w:type="spellEnd"/>
            <w:r w:rsidR="004C6EBC" w:rsidRPr="0002374C">
              <w:rPr>
                <w:i/>
              </w:rPr>
              <w:t xml:space="preserve"> </w:t>
            </w:r>
            <w:r w:rsidR="004C6EBC">
              <w:rPr>
                <w:i/>
              </w:rPr>
              <w:t>17</w:t>
            </w:r>
            <w:r w:rsidR="004C6EBC" w:rsidRPr="0002374C">
              <w:rPr>
                <w:i/>
              </w:rPr>
              <w:t>)</w:t>
            </w:r>
            <w:r w:rsidR="004C6EBC" w:rsidRPr="00750CA9">
              <w:rPr>
                <w:lang w:val="fr-FR"/>
              </w:rPr>
              <w:t> </w:t>
            </w:r>
          </w:p>
          <w:p w14:paraId="2CC0A340" w14:textId="5BC701AD" w:rsidR="008611F9" w:rsidRPr="00750CA9" w:rsidRDefault="00A86E67" w:rsidP="007A0F0B">
            <w:pPr>
              <w:pStyle w:val="liste1"/>
              <w:rPr>
                <w:lang w:val="fr-FR"/>
              </w:rPr>
            </w:pPr>
            <w:r>
              <w:rPr>
                <w:lang w:val="fr-FR"/>
              </w:rPr>
              <w:t>PSN</w:t>
            </w:r>
            <w:r w:rsidR="008611F9" w:rsidRPr="00750CA9">
              <w:rPr>
                <w:lang w:val="fr-FR"/>
              </w:rPr>
              <w:t xml:space="preserve"> </w:t>
            </w:r>
            <w:r w:rsidR="004C6EBC">
              <w:rPr>
                <w:lang w:val="fr-FR"/>
              </w:rPr>
              <w:t xml:space="preserve">VIH </w:t>
            </w:r>
            <w:r w:rsidR="008611F9" w:rsidRPr="00750CA9">
              <w:rPr>
                <w:lang w:val="fr-FR"/>
              </w:rPr>
              <w:t>2016-2020</w:t>
            </w:r>
            <w:r>
              <w:rPr>
                <w:lang w:val="fr-FR"/>
              </w:rPr>
              <w:t xml:space="preserve"> </w:t>
            </w:r>
            <w:r w:rsidR="004C6EBC">
              <w:rPr>
                <w:i/>
                <w:iCs/>
                <w:lang w:val="fr-FR"/>
              </w:rPr>
              <w:t>(</w:t>
            </w:r>
            <w:proofErr w:type="spellStart"/>
            <w:r w:rsidR="004C6EBC" w:rsidRPr="0002374C">
              <w:rPr>
                <w:i/>
              </w:rPr>
              <w:t>Annexe</w:t>
            </w:r>
            <w:proofErr w:type="spellEnd"/>
            <w:r w:rsidR="004C6EBC" w:rsidRPr="0002374C">
              <w:rPr>
                <w:i/>
              </w:rPr>
              <w:t xml:space="preserve"> </w:t>
            </w:r>
            <w:r w:rsidR="004C6EBC">
              <w:rPr>
                <w:i/>
              </w:rPr>
              <w:t>32</w:t>
            </w:r>
            <w:r w:rsidR="004C6EBC" w:rsidRPr="0002374C">
              <w:rPr>
                <w:i/>
              </w:rPr>
              <w:t>)</w:t>
            </w:r>
            <w:r w:rsidR="004C6EBC" w:rsidRPr="00750CA9">
              <w:rPr>
                <w:lang w:val="fr-FR"/>
              </w:rPr>
              <w:t> </w:t>
            </w:r>
          </w:p>
          <w:p w14:paraId="440C972B" w14:textId="5F08F541" w:rsidR="008611F9" w:rsidRDefault="008611F9" w:rsidP="007A0F0B">
            <w:pPr>
              <w:pStyle w:val="liste1"/>
            </w:pPr>
            <w:r w:rsidRPr="00750CA9">
              <w:rPr>
                <w:lang w:val="fr-FR"/>
              </w:rPr>
              <w:t>Rapport annuel 2019 de l’observatoire Droits Humains</w:t>
            </w:r>
            <w:r w:rsidR="00C21C56">
              <w:rPr>
                <w:lang w:val="fr-FR"/>
              </w:rPr>
              <w:t xml:space="preserve"> </w:t>
            </w:r>
            <w:r w:rsidR="004C6EBC">
              <w:rPr>
                <w:i/>
                <w:iCs/>
                <w:lang w:val="fr-FR"/>
              </w:rPr>
              <w:t>(</w:t>
            </w:r>
            <w:proofErr w:type="spellStart"/>
            <w:r w:rsidR="004C6EBC" w:rsidRPr="0002374C">
              <w:rPr>
                <w:i/>
              </w:rPr>
              <w:t>Annexe</w:t>
            </w:r>
            <w:proofErr w:type="spellEnd"/>
            <w:r w:rsidR="004C6EBC" w:rsidRPr="0002374C">
              <w:rPr>
                <w:i/>
              </w:rPr>
              <w:t xml:space="preserve"> </w:t>
            </w:r>
            <w:r w:rsidR="004C6EBC">
              <w:rPr>
                <w:i/>
              </w:rPr>
              <w:t>33</w:t>
            </w:r>
            <w:r w:rsidR="004C6EBC" w:rsidRPr="0002374C">
              <w:rPr>
                <w:i/>
              </w:rPr>
              <w:t>)</w:t>
            </w:r>
            <w:r w:rsidR="004C6EBC" w:rsidRPr="00750CA9">
              <w:rPr>
                <w:lang w:val="fr-FR"/>
              </w:rPr>
              <w:t> </w:t>
            </w:r>
          </w:p>
          <w:p w14:paraId="7D67F262" w14:textId="31C956F9" w:rsidR="008611F9" w:rsidRPr="00750CA9" w:rsidRDefault="001E5FE7" w:rsidP="007A0F0B">
            <w:pPr>
              <w:pStyle w:val="liste1"/>
              <w:rPr>
                <w:lang w:val="fr-FR"/>
              </w:rPr>
            </w:pPr>
            <w:proofErr w:type="spellStart"/>
            <w:r>
              <w:t>Stratégie</w:t>
            </w:r>
            <w:proofErr w:type="spellEnd"/>
            <w:r>
              <w:t xml:space="preserve"> </w:t>
            </w:r>
            <w:proofErr w:type="spellStart"/>
            <w:r>
              <w:t>Nationale</w:t>
            </w:r>
            <w:proofErr w:type="spellEnd"/>
            <w:r>
              <w:t xml:space="preserve"> VBG, 2014</w:t>
            </w:r>
            <w:r w:rsidR="00C21C56">
              <w:t xml:space="preserve"> </w:t>
            </w:r>
            <w:r w:rsidR="004C6EBC">
              <w:rPr>
                <w:i/>
                <w:iCs/>
                <w:lang w:val="fr-FR"/>
              </w:rPr>
              <w:t>(</w:t>
            </w:r>
            <w:proofErr w:type="spellStart"/>
            <w:r w:rsidR="004C6EBC" w:rsidRPr="0002374C">
              <w:rPr>
                <w:i/>
              </w:rPr>
              <w:t>Annexe</w:t>
            </w:r>
            <w:proofErr w:type="spellEnd"/>
            <w:r w:rsidR="004C6EBC" w:rsidRPr="0002374C">
              <w:rPr>
                <w:i/>
              </w:rPr>
              <w:t xml:space="preserve"> </w:t>
            </w:r>
            <w:r w:rsidR="004C6EBC">
              <w:rPr>
                <w:i/>
              </w:rPr>
              <w:t>34</w:t>
            </w:r>
            <w:r w:rsidR="004C6EBC" w:rsidRPr="0002374C">
              <w:rPr>
                <w:i/>
              </w:rPr>
              <w:t>)</w:t>
            </w:r>
            <w:r w:rsidR="004C6EBC" w:rsidRPr="00750CA9">
              <w:rPr>
                <w:lang w:val="fr-FR"/>
              </w:rPr>
              <w:t> </w:t>
            </w:r>
          </w:p>
        </w:tc>
      </w:tr>
      <w:tr w:rsidR="008611F9" w:rsidRPr="007F7A64" w14:paraId="55F914E4" w14:textId="77777777" w:rsidTr="007A0F0B">
        <w:trPr>
          <w:trHeight w:val="288"/>
        </w:trPr>
        <w:tc>
          <w:tcPr>
            <w:tcW w:w="1560" w:type="dxa"/>
            <w:shd w:val="clear" w:color="auto" w:fill="F2F2F2"/>
            <w:vAlign w:val="center"/>
          </w:tcPr>
          <w:p w14:paraId="5264469E" w14:textId="77777777" w:rsidR="008611F9" w:rsidRPr="007F7A64" w:rsidRDefault="008611F9" w:rsidP="00E80CEF">
            <w:pPr>
              <w:spacing w:after="0"/>
              <w:rPr>
                <w:b/>
              </w:rPr>
            </w:pPr>
            <w:proofErr w:type="spellStart"/>
            <w:r w:rsidRPr="007F7A64">
              <w:rPr>
                <w:b/>
                <w:lang w:bidi="fr-FR"/>
              </w:rPr>
              <w:t>Résultats</w:t>
            </w:r>
            <w:proofErr w:type="spellEnd"/>
            <w:r w:rsidRPr="007F7A64">
              <w:rPr>
                <w:b/>
                <w:lang w:bidi="fr-FR"/>
              </w:rPr>
              <w:t xml:space="preserve"> </w:t>
            </w:r>
            <w:proofErr w:type="spellStart"/>
            <w:r w:rsidRPr="007F7A64">
              <w:rPr>
                <w:b/>
                <w:lang w:bidi="fr-FR"/>
              </w:rPr>
              <w:t>attendus</w:t>
            </w:r>
            <w:proofErr w:type="spellEnd"/>
          </w:p>
        </w:tc>
        <w:tc>
          <w:tcPr>
            <w:tcW w:w="9240" w:type="dxa"/>
          </w:tcPr>
          <w:p w14:paraId="6BF5F65C" w14:textId="59AF4777" w:rsidR="00785E61" w:rsidRPr="0019513D" w:rsidRDefault="00A86E67" w:rsidP="00750CA9">
            <w:pPr>
              <w:pStyle w:val="Texteformulaire"/>
            </w:pPr>
            <w:r>
              <w:t xml:space="preserve">La </w:t>
            </w:r>
            <w:proofErr w:type="spellStart"/>
            <w:r>
              <w:t>stigmatisation</w:t>
            </w:r>
            <w:proofErr w:type="spellEnd"/>
            <w:r>
              <w:t xml:space="preserve"> et de la discrimination à </w:t>
            </w:r>
            <w:proofErr w:type="spellStart"/>
            <w:r>
              <w:t>l’endroit</w:t>
            </w:r>
            <w:proofErr w:type="spellEnd"/>
            <w:r>
              <w:t xml:space="preserve"> des PVVIH et des populations </w:t>
            </w:r>
            <w:proofErr w:type="spellStart"/>
            <w:r>
              <w:t>clés</w:t>
            </w:r>
            <w:proofErr w:type="spellEnd"/>
            <w:r>
              <w:t xml:space="preserve"> </w:t>
            </w:r>
            <w:proofErr w:type="spellStart"/>
            <w:r>
              <w:t>sont</w:t>
            </w:r>
            <w:proofErr w:type="spellEnd"/>
            <w:r>
              <w:t xml:space="preserve"> </w:t>
            </w:r>
            <w:proofErr w:type="spellStart"/>
            <w:r>
              <w:t>réduites</w:t>
            </w:r>
            <w:proofErr w:type="spellEnd"/>
            <w:r>
              <w:t xml:space="preserve"> de 50% </w:t>
            </w:r>
            <w:proofErr w:type="spellStart"/>
            <w:r>
              <w:t>d’ici</w:t>
            </w:r>
            <w:proofErr w:type="spellEnd"/>
            <w:r>
              <w:t xml:space="preserve"> </w:t>
            </w:r>
            <w:r w:rsidR="00785E61">
              <w:t xml:space="preserve">fin 2023 (21% </w:t>
            </w:r>
            <w:proofErr w:type="spellStart"/>
            <w:r w:rsidR="00785E61">
              <w:t>contre</w:t>
            </w:r>
            <w:proofErr w:type="spellEnd"/>
            <w:r w:rsidR="00785E61">
              <w:t xml:space="preserve"> 40,4% </w:t>
            </w:r>
            <w:proofErr w:type="spellStart"/>
            <w:r w:rsidR="00785E61">
              <w:t>en</w:t>
            </w:r>
            <w:proofErr w:type="spellEnd"/>
            <w:r w:rsidR="00785E61">
              <w:t xml:space="preserve"> 2016)</w:t>
            </w:r>
            <w:r w:rsidR="003A71A0">
              <w:t>.</w:t>
            </w:r>
          </w:p>
        </w:tc>
      </w:tr>
      <w:tr w:rsidR="008611F9" w:rsidRPr="007F7A64" w14:paraId="09A018EE" w14:textId="77777777" w:rsidTr="007A0F0B">
        <w:trPr>
          <w:trHeight w:val="288"/>
        </w:trPr>
        <w:tc>
          <w:tcPr>
            <w:tcW w:w="1560" w:type="dxa"/>
            <w:shd w:val="clear" w:color="auto" w:fill="F2F2F2"/>
            <w:vAlign w:val="center"/>
          </w:tcPr>
          <w:p w14:paraId="4FA35734" w14:textId="77777777" w:rsidR="008611F9" w:rsidRPr="00C44844" w:rsidRDefault="008611F9" w:rsidP="00E80CEF">
            <w:pPr>
              <w:spacing w:after="0"/>
              <w:rPr>
                <w:b/>
              </w:rPr>
            </w:pPr>
            <w:proofErr w:type="spellStart"/>
            <w:r w:rsidRPr="007F7A64">
              <w:rPr>
                <w:b/>
                <w:lang w:bidi="fr-FR"/>
              </w:rPr>
              <w:t>Investissement</w:t>
            </w:r>
            <w:proofErr w:type="spellEnd"/>
            <w:r w:rsidRPr="007F7A64">
              <w:rPr>
                <w:b/>
                <w:lang w:bidi="fr-FR"/>
              </w:rPr>
              <w:t xml:space="preserve"> </w:t>
            </w:r>
            <w:proofErr w:type="spellStart"/>
            <w:r w:rsidRPr="007F7A64">
              <w:rPr>
                <w:b/>
                <w:lang w:bidi="fr-FR"/>
              </w:rPr>
              <w:t>attendu</w:t>
            </w:r>
            <w:proofErr w:type="spellEnd"/>
          </w:p>
        </w:tc>
        <w:tc>
          <w:tcPr>
            <w:tcW w:w="9240" w:type="dxa"/>
          </w:tcPr>
          <w:p w14:paraId="485540B4" w14:textId="4E4EE96C" w:rsidR="008611F9" w:rsidRPr="00DB293F" w:rsidRDefault="0044115C" w:rsidP="00DB293F">
            <w:pPr>
              <w:pStyle w:val="Texteformulaire"/>
              <w:rPr>
                <w:b/>
                <w:bCs/>
              </w:rPr>
            </w:pPr>
            <w:r w:rsidRPr="002D0EC2">
              <w:rPr>
                <w:b/>
                <w:bCs/>
                <w:color w:val="FF0000"/>
              </w:rPr>
              <w:t>4</w:t>
            </w:r>
            <w:r w:rsidR="00EF66DC" w:rsidRPr="002D0EC2">
              <w:rPr>
                <w:b/>
                <w:bCs/>
                <w:color w:val="FF0000"/>
              </w:rPr>
              <w:t xml:space="preserve"> </w:t>
            </w:r>
            <w:r w:rsidR="00661CE1" w:rsidRPr="002D0EC2">
              <w:rPr>
                <w:b/>
                <w:bCs/>
                <w:color w:val="FF0000"/>
              </w:rPr>
              <w:t>855</w:t>
            </w:r>
            <w:r w:rsidR="00EF66DC" w:rsidRPr="002D0EC2">
              <w:rPr>
                <w:b/>
                <w:bCs/>
                <w:color w:val="FF0000"/>
              </w:rPr>
              <w:t> </w:t>
            </w:r>
            <w:r w:rsidRPr="002D0EC2">
              <w:rPr>
                <w:b/>
                <w:bCs/>
                <w:color w:val="FF0000"/>
              </w:rPr>
              <w:t>4</w:t>
            </w:r>
            <w:r w:rsidR="00661CE1" w:rsidRPr="002D0EC2">
              <w:rPr>
                <w:b/>
                <w:bCs/>
                <w:color w:val="FF0000"/>
              </w:rPr>
              <w:t>95</w:t>
            </w:r>
            <w:r w:rsidR="00EF66DC" w:rsidRPr="002D0EC2">
              <w:rPr>
                <w:b/>
                <w:bCs/>
                <w:color w:val="FF0000"/>
              </w:rPr>
              <w:t xml:space="preserve"> euros (</w:t>
            </w:r>
            <w:proofErr w:type="spellStart"/>
            <w:r w:rsidR="00EF66DC" w:rsidRPr="002D0EC2">
              <w:rPr>
                <w:b/>
                <w:bCs/>
                <w:color w:val="FF0000"/>
              </w:rPr>
              <w:t>soit</w:t>
            </w:r>
            <w:proofErr w:type="spellEnd"/>
            <w:r w:rsidR="00EF66DC" w:rsidRPr="002D0EC2">
              <w:rPr>
                <w:b/>
                <w:bCs/>
                <w:color w:val="FF0000"/>
              </w:rPr>
              <w:t xml:space="preserve"> </w:t>
            </w:r>
            <w:r w:rsidRPr="002D0EC2">
              <w:rPr>
                <w:b/>
                <w:bCs/>
                <w:color w:val="FF0000"/>
              </w:rPr>
              <w:t>6</w:t>
            </w:r>
            <w:r w:rsidR="00EF66DC" w:rsidRPr="002D0EC2">
              <w:rPr>
                <w:b/>
                <w:bCs/>
                <w:color w:val="FF0000"/>
              </w:rPr>
              <w:t>%)</w:t>
            </w:r>
          </w:p>
        </w:tc>
      </w:tr>
    </w:tbl>
    <w:p w14:paraId="2D9C832A" w14:textId="77777777" w:rsidR="004E4290" w:rsidRDefault="004E4290" w:rsidP="009B6C0D">
      <w:pPr>
        <w:spacing w:after="0"/>
        <w:rPr>
          <w:i/>
          <w:sz w:val="16"/>
        </w:rPr>
      </w:pPr>
      <w:r w:rsidRPr="00E80CEF">
        <w:rPr>
          <w:i/>
          <w:sz w:val="16"/>
        </w:rPr>
        <w:t xml:space="preserve"> </w:t>
      </w:r>
    </w:p>
    <w:tbl>
      <w:tblPr>
        <w:tblStyle w:val="TableGrid30"/>
        <w:tblW w:w="10800" w:type="dxa"/>
        <w:tblInd w:w="-5" w:type="dxa"/>
        <w:tblLook w:val="04A0" w:firstRow="1" w:lastRow="0" w:firstColumn="1" w:lastColumn="0" w:noHBand="0" w:noVBand="1"/>
      </w:tblPr>
      <w:tblGrid>
        <w:gridCol w:w="1662"/>
        <w:gridCol w:w="9138"/>
      </w:tblGrid>
      <w:tr w:rsidR="004E4290" w:rsidRPr="00390EA4" w14:paraId="37E4E4BF" w14:textId="77777777" w:rsidTr="00390EA4">
        <w:trPr>
          <w:trHeight w:val="418"/>
        </w:trPr>
        <w:tc>
          <w:tcPr>
            <w:tcW w:w="1560" w:type="dxa"/>
            <w:shd w:val="clear" w:color="auto" w:fill="F2F2F2"/>
            <w:vAlign w:val="center"/>
          </w:tcPr>
          <w:p w14:paraId="6860AEE8" w14:textId="77777777" w:rsidR="004E4290" w:rsidRPr="00390EA4" w:rsidRDefault="004E4290" w:rsidP="00390EA4">
            <w:pPr>
              <w:spacing w:after="0"/>
              <w:rPr>
                <w:b/>
                <w:sz w:val="22"/>
                <w:szCs w:val="22"/>
              </w:rPr>
            </w:pPr>
            <w:proofErr w:type="gramStart"/>
            <w:r w:rsidRPr="00390EA4">
              <w:rPr>
                <w:b/>
                <w:sz w:val="22"/>
                <w:szCs w:val="22"/>
                <w:lang w:bidi="fr-FR"/>
              </w:rPr>
              <w:t>N</w:t>
            </w:r>
            <w:r w:rsidRPr="00390EA4">
              <w:rPr>
                <w:b/>
                <w:sz w:val="22"/>
                <w:szCs w:val="22"/>
                <w:vertAlign w:val="superscript"/>
                <w:lang w:bidi="fr-FR"/>
              </w:rPr>
              <w:t>o</w:t>
            </w:r>
            <w:proofErr w:type="gramEnd"/>
            <w:r w:rsidRPr="00390EA4">
              <w:rPr>
                <w:b/>
                <w:sz w:val="22"/>
                <w:szCs w:val="22"/>
                <w:lang w:bidi="fr-FR"/>
              </w:rPr>
              <w:t xml:space="preserve"> de module</w:t>
            </w:r>
          </w:p>
        </w:tc>
        <w:tc>
          <w:tcPr>
            <w:tcW w:w="9240" w:type="dxa"/>
            <w:vAlign w:val="center"/>
          </w:tcPr>
          <w:p w14:paraId="6022F383" w14:textId="2D185662" w:rsidR="004E4290" w:rsidRPr="00390EA4" w:rsidRDefault="00FC6DD3" w:rsidP="00390EA4">
            <w:pPr>
              <w:spacing w:after="0"/>
              <w:rPr>
                <w:b/>
                <w:sz w:val="22"/>
                <w:szCs w:val="22"/>
              </w:rPr>
            </w:pPr>
            <w:r w:rsidRPr="00390EA4">
              <w:rPr>
                <w:b/>
                <w:sz w:val="22"/>
                <w:szCs w:val="22"/>
              </w:rPr>
              <w:t xml:space="preserve">Module 7: Gestion de </w:t>
            </w:r>
            <w:proofErr w:type="spellStart"/>
            <w:r w:rsidRPr="00390EA4">
              <w:rPr>
                <w:b/>
                <w:sz w:val="22"/>
                <w:szCs w:val="22"/>
              </w:rPr>
              <w:t>programmes</w:t>
            </w:r>
            <w:proofErr w:type="spellEnd"/>
          </w:p>
        </w:tc>
      </w:tr>
      <w:tr w:rsidR="00281B6C" w:rsidRPr="0037522B" w14:paraId="74BC749D" w14:textId="77777777" w:rsidTr="007A0F0B">
        <w:trPr>
          <w:trHeight w:val="288"/>
        </w:trPr>
        <w:tc>
          <w:tcPr>
            <w:tcW w:w="1560" w:type="dxa"/>
            <w:shd w:val="clear" w:color="auto" w:fill="F2F2F2"/>
            <w:vAlign w:val="center"/>
          </w:tcPr>
          <w:p w14:paraId="63284C66" w14:textId="77777777" w:rsidR="00281B6C" w:rsidRPr="007F7A64" w:rsidRDefault="00281B6C" w:rsidP="00E80CEF">
            <w:pPr>
              <w:spacing w:after="0"/>
              <w:rPr>
                <w:b/>
              </w:rPr>
            </w:pPr>
            <w:proofErr w:type="spellStart"/>
            <w:r w:rsidRPr="007F7A64">
              <w:rPr>
                <w:b/>
                <w:lang w:bidi="fr-FR"/>
              </w:rPr>
              <w:t>Principales</w:t>
            </w:r>
            <w:proofErr w:type="spellEnd"/>
            <w:r w:rsidRPr="007F7A64">
              <w:rPr>
                <w:b/>
                <w:lang w:bidi="fr-FR"/>
              </w:rPr>
              <w:t xml:space="preserve"> interventions et </w:t>
            </w:r>
            <w:proofErr w:type="spellStart"/>
            <w:r w:rsidRPr="007F7A64">
              <w:rPr>
                <w:b/>
                <w:lang w:bidi="fr-FR"/>
              </w:rPr>
              <w:t>activités</w:t>
            </w:r>
            <w:proofErr w:type="spellEnd"/>
          </w:p>
        </w:tc>
        <w:tc>
          <w:tcPr>
            <w:tcW w:w="9240" w:type="dxa"/>
          </w:tcPr>
          <w:p w14:paraId="31D68ABB" w14:textId="0FD568F0" w:rsidR="00281B6C" w:rsidRPr="00390EA4" w:rsidRDefault="00281B6C" w:rsidP="006F6940">
            <w:pPr>
              <w:pStyle w:val="NormalJBGS"/>
              <w:numPr>
                <w:ilvl w:val="0"/>
                <w:numId w:val="42"/>
              </w:numPr>
              <w:jc w:val="both"/>
              <w:rPr>
                <w:rFonts w:asciiTheme="minorHAnsi" w:hAnsiTheme="minorHAnsi" w:cstheme="minorHAnsi"/>
                <w:b/>
                <w:bCs/>
                <w:i w:val="0"/>
                <w:color w:val="404040" w:themeColor="text1"/>
                <w:sz w:val="22"/>
                <w:szCs w:val="22"/>
                <w:lang w:val="fr-FR"/>
              </w:rPr>
            </w:pPr>
            <w:r w:rsidRPr="00390EA4">
              <w:rPr>
                <w:rFonts w:asciiTheme="minorHAnsi" w:hAnsiTheme="minorHAnsi" w:cstheme="minorHAnsi"/>
                <w:b/>
                <w:bCs/>
                <w:i w:val="0"/>
                <w:color w:val="404040" w:themeColor="text1"/>
                <w:sz w:val="22"/>
                <w:szCs w:val="22"/>
                <w:lang w:val="fr-FR"/>
              </w:rPr>
              <w:t>Coordination et gestion des programmes nationaux de lutte contre les maladies</w:t>
            </w:r>
          </w:p>
          <w:p w14:paraId="6B7E79DE" w14:textId="77777777" w:rsidR="0076727A" w:rsidRDefault="00281B6C" w:rsidP="00390EA4">
            <w:pPr>
              <w:pStyle w:val="Texteformulaire"/>
              <w:rPr>
                <w:rFonts w:asciiTheme="minorHAnsi" w:hAnsiTheme="minorHAnsi"/>
                <w:lang w:val="fr-FR"/>
              </w:rPr>
            </w:pPr>
            <w:r w:rsidRPr="00750CA9">
              <w:rPr>
                <w:rFonts w:asciiTheme="minorHAnsi" w:hAnsiTheme="minorHAnsi"/>
                <w:lang w:val="fr-FR"/>
              </w:rPr>
              <w:t>La lutte contre les IST/VIH/sida est coordonnée par le PNLS sur toute l’étendue du territoire national. Cette coordination consiste à la mise e</w:t>
            </w:r>
            <w:r w:rsidR="00EC262A" w:rsidRPr="00750CA9">
              <w:rPr>
                <w:rFonts w:asciiTheme="minorHAnsi" w:hAnsiTheme="minorHAnsi"/>
                <w:lang w:val="fr-FR"/>
              </w:rPr>
              <w:t>n œuvre des activités</w:t>
            </w:r>
            <w:r w:rsidR="00A116B2" w:rsidRPr="00750CA9">
              <w:rPr>
                <w:rFonts w:asciiTheme="minorHAnsi" w:hAnsiTheme="minorHAnsi"/>
                <w:lang w:val="fr-FR"/>
              </w:rPr>
              <w:t xml:space="preserve"> de </w:t>
            </w:r>
            <w:r w:rsidRPr="00750CA9">
              <w:rPr>
                <w:rFonts w:asciiTheme="minorHAnsi" w:hAnsiTheme="minorHAnsi"/>
                <w:lang w:val="fr-FR"/>
              </w:rPr>
              <w:t xml:space="preserve">surveillance, assistance technique, supervision, planification des ressources humaines, coordination avec les autorités locales et les districts, réunions trimestrielles, partenariat et plaidoyer, sensibilisation et communication. </w:t>
            </w:r>
          </w:p>
          <w:p w14:paraId="7D13C66D" w14:textId="77777777" w:rsidR="0076727A" w:rsidRDefault="00281B6C" w:rsidP="00390EA4">
            <w:pPr>
              <w:pStyle w:val="Texteformulaire"/>
              <w:rPr>
                <w:rFonts w:asciiTheme="minorHAnsi" w:hAnsiTheme="minorHAnsi"/>
                <w:lang w:val="fr-FR"/>
              </w:rPr>
            </w:pPr>
            <w:r w:rsidRPr="00750CA9">
              <w:rPr>
                <w:rFonts w:asciiTheme="minorHAnsi" w:hAnsiTheme="minorHAnsi"/>
                <w:lang w:val="fr-FR"/>
              </w:rPr>
              <w:lastRenderedPageBreak/>
              <w:t>Ces activités se font aux différents niveaux de la pyramide sanitaire. Les interventions de suivi-évaluation liées à la maladie ainsi que les études et recherche sont également prises en compte dans ce module.</w:t>
            </w:r>
            <w:r w:rsidR="0076727A">
              <w:rPr>
                <w:rFonts w:asciiTheme="minorHAnsi" w:hAnsiTheme="minorHAnsi"/>
                <w:lang w:val="fr-FR"/>
              </w:rPr>
              <w:t xml:space="preserve"> </w:t>
            </w:r>
          </w:p>
          <w:p w14:paraId="1725F6F6" w14:textId="2A0E2A77" w:rsidR="00315C60" w:rsidRPr="00750CA9" w:rsidRDefault="0076727A" w:rsidP="00390EA4">
            <w:pPr>
              <w:pStyle w:val="Texteformulaire"/>
              <w:rPr>
                <w:rFonts w:asciiTheme="minorHAnsi" w:hAnsiTheme="minorHAnsi"/>
                <w:lang w:val="fr-FR"/>
              </w:rPr>
            </w:pPr>
            <w:r>
              <w:rPr>
                <w:rFonts w:asciiTheme="minorHAnsi" w:hAnsiTheme="minorHAnsi"/>
                <w:lang w:val="fr-FR"/>
              </w:rPr>
              <w:t>Le PNLS innovera en investissant dans l’équipement de visioconférence de plus de 110 sites de prise en charge, des DS prioritaires pour la prise en charge, en choisissant les sites qui gèrent les plus grosses files actives de PVVIH traitées par ARV. En complément de ce que l’OMS développe au niveau des Districts Sanitaires, ces équipements seront principalement orientés vers l’enseignement à distance pour la formation continue des personnels de santé et communautaires, les réunions de coordination, le suivi de la qualité des services (télémédecine, études de dossiers, etc.) Il s’agit de réduire les interventions couteuses d’ateliers et de formation au plus strict minimum, grâce à ces innovations technologiques.</w:t>
            </w:r>
          </w:p>
          <w:p w14:paraId="036F51C1" w14:textId="5DF5E6E2" w:rsidR="00281B6C" w:rsidRPr="00390EA4" w:rsidRDefault="00281B6C" w:rsidP="00390EA4">
            <w:pPr>
              <w:pStyle w:val="Texteformulaire"/>
              <w:rPr>
                <w:rFonts w:asciiTheme="minorHAnsi" w:hAnsiTheme="minorHAnsi" w:cstheme="minorHAnsi"/>
                <w:lang w:val="fr-FR"/>
              </w:rPr>
            </w:pPr>
          </w:p>
          <w:p w14:paraId="130BC83E" w14:textId="77777777" w:rsidR="00A116B2" w:rsidRPr="00390EA4" w:rsidRDefault="00281B6C" w:rsidP="00390EA4">
            <w:pPr>
              <w:spacing w:line="240" w:lineRule="auto"/>
              <w:jc w:val="both"/>
              <w:rPr>
                <w:rFonts w:cstheme="minorHAnsi"/>
                <w:sz w:val="22"/>
                <w:szCs w:val="22"/>
              </w:rPr>
            </w:pPr>
            <w:r w:rsidRPr="00390EA4">
              <w:rPr>
                <w:rFonts w:cstheme="minorHAnsi"/>
                <w:b/>
                <w:sz w:val="22"/>
                <w:szCs w:val="22"/>
              </w:rPr>
              <w:t xml:space="preserve">PR </w:t>
            </w:r>
            <w:proofErr w:type="gramStart"/>
            <w:r w:rsidRPr="00390EA4">
              <w:rPr>
                <w:rFonts w:cstheme="minorHAnsi"/>
                <w:b/>
                <w:sz w:val="22"/>
                <w:szCs w:val="22"/>
              </w:rPr>
              <w:t>Public</w:t>
            </w:r>
            <w:r w:rsidR="007676C0" w:rsidRPr="00390EA4">
              <w:rPr>
                <w:rFonts w:cstheme="minorHAnsi"/>
                <w:b/>
                <w:sz w:val="22"/>
                <w:szCs w:val="22"/>
              </w:rPr>
              <w:t xml:space="preserve"> :</w:t>
            </w:r>
            <w:proofErr w:type="gramEnd"/>
            <w:r w:rsidR="007676C0" w:rsidRPr="00390EA4">
              <w:rPr>
                <w:rFonts w:cstheme="minorHAnsi"/>
                <w:b/>
                <w:sz w:val="22"/>
                <w:szCs w:val="22"/>
              </w:rPr>
              <w:t xml:space="preserve"> </w:t>
            </w:r>
          </w:p>
          <w:p w14:paraId="3BA8A7AD" w14:textId="01B180D0" w:rsidR="0057407D" w:rsidRPr="00750CA9" w:rsidRDefault="0057407D" w:rsidP="00390EA4">
            <w:pPr>
              <w:pStyle w:val="liste1"/>
              <w:rPr>
                <w:rFonts w:asciiTheme="minorHAnsi" w:hAnsiTheme="minorHAnsi"/>
                <w:lang w:val="fr-FR"/>
              </w:rPr>
            </w:pPr>
            <w:r w:rsidRPr="00750CA9">
              <w:rPr>
                <w:rFonts w:asciiTheme="minorHAnsi" w:hAnsiTheme="minorHAnsi"/>
                <w:lang w:val="fr-FR"/>
              </w:rPr>
              <w:t xml:space="preserve">Redynamiser les capacités </w:t>
            </w:r>
            <w:r w:rsidR="00554E97" w:rsidRPr="00750CA9">
              <w:rPr>
                <w:rFonts w:asciiTheme="minorHAnsi" w:hAnsiTheme="minorHAnsi"/>
                <w:lang w:val="fr-FR"/>
              </w:rPr>
              <w:t xml:space="preserve">des comités sectoriels de lutte contre le sida (CSLS) au niveau central, ainsi que </w:t>
            </w:r>
            <w:r w:rsidRPr="00750CA9">
              <w:rPr>
                <w:rFonts w:asciiTheme="minorHAnsi" w:hAnsiTheme="minorHAnsi"/>
                <w:lang w:val="fr-FR"/>
              </w:rPr>
              <w:t>des comités décentralisés de lutte contre le sida (CRLS, CDLS, CCLS, CVLS) en matière de coordination</w:t>
            </w:r>
            <w:r w:rsidR="00554E97" w:rsidRPr="00750CA9">
              <w:rPr>
                <w:rFonts w:asciiTheme="minorHAnsi" w:hAnsiTheme="minorHAnsi"/>
                <w:lang w:val="fr-FR"/>
              </w:rPr>
              <w:t>,</w:t>
            </w:r>
            <w:r w:rsidRPr="00750CA9">
              <w:rPr>
                <w:rFonts w:asciiTheme="minorHAnsi" w:hAnsiTheme="minorHAnsi"/>
                <w:lang w:val="fr-FR"/>
              </w:rPr>
              <w:t xml:space="preserve"> avec un accent sur l'initiative ville et VIH</w:t>
            </w:r>
          </w:p>
          <w:p w14:paraId="47FE1022" w14:textId="5A13158B" w:rsidR="0057407D" w:rsidRPr="00750CA9" w:rsidRDefault="0057407D" w:rsidP="00DF6816">
            <w:pPr>
              <w:pStyle w:val="liste1"/>
              <w:rPr>
                <w:rFonts w:asciiTheme="minorHAnsi" w:hAnsiTheme="minorHAnsi"/>
                <w:lang w:val="fr-FR"/>
              </w:rPr>
            </w:pPr>
            <w:r w:rsidRPr="00750CA9">
              <w:rPr>
                <w:rFonts w:asciiTheme="minorHAnsi" w:hAnsiTheme="minorHAnsi"/>
                <w:lang w:val="fr-FR"/>
              </w:rPr>
              <w:t>Renforc</w:t>
            </w:r>
            <w:r w:rsidR="00554E97" w:rsidRPr="00750CA9">
              <w:rPr>
                <w:rFonts w:asciiTheme="minorHAnsi" w:hAnsiTheme="minorHAnsi"/>
                <w:lang w:val="fr-FR"/>
              </w:rPr>
              <w:t>er</w:t>
            </w:r>
            <w:r w:rsidRPr="00750CA9">
              <w:rPr>
                <w:rFonts w:asciiTheme="minorHAnsi" w:hAnsiTheme="minorHAnsi"/>
                <w:lang w:val="fr-FR"/>
              </w:rPr>
              <w:t xml:space="preserve"> l'engagement du secteur privé dans la réponse nationale au </w:t>
            </w:r>
            <w:r w:rsidR="00554E97" w:rsidRPr="00750CA9">
              <w:rPr>
                <w:rFonts w:asciiTheme="minorHAnsi" w:hAnsiTheme="minorHAnsi"/>
                <w:lang w:val="fr-FR"/>
              </w:rPr>
              <w:t>VIH/sida</w:t>
            </w:r>
          </w:p>
          <w:p w14:paraId="7DB4B732" w14:textId="4E6EB277" w:rsidR="0057407D" w:rsidRPr="00750CA9" w:rsidRDefault="0057407D" w:rsidP="00DF6816">
            <w:pPr>
              <w:pStyle w:val="liste1"/>
              <w:rPr>
                <w:rFonts w:asciiTheme="minorHAnsi" w:hAnsiTheme="minorHAnsi"/>
                <w:lang w:val="fr-FR"/>
              </w:rPr>
            </w:pPr>
            <w:r w:rsidRPr="00750CA9">
              <w:rPr>
                <w:rFonts w:asciiTheme="minorHAnsi" w:hAnsiTheme="minorHAnsi"/>
                <w:lang w:val="fr-FR"/>
              </w:rPr>
              <w:t>Mettre en place un cadre de coordination multisectorielle efficace entre le secteur public, le secteur privé et le système communautaire</w:t>
            </w:r>
          </w:p>
          <w:p w14:paraId="10C0AF5A" w14:textId="07C14CA3" w:rsidR="0057407D" w:rsidRPr="00750CA9" w:rsidRDefault="0057407D" w:rsidP="00DF6816">
            <w:pPr>
              <w:pStyle w:val="liste1"/>
              <w:rPr>
                <w:rFonts w:asciiTheme="minorHAnsi" w:hAnsiTheme="minorHAnsi"/>
                <w:lang w:val="fr-FR"/>
              </w:rPr>
            </w:pPr>
            <w:r w:rsidRPr="00750CA9">
              <w:rPr>
                <w:rFonts w:asciiTheme="minorHAnsi" w:hAnsiTheme="minorHAnsi"/>
                <w:lang w:val="fr-FR"/>
              </w:rPr>
              <w:t>Mettre en place d'un cadre de concertation avec tous les partenaires pour l'alignement des financements extérieurs et des données sur la réponse nationale au VIH et au sida</w:t>
            </w:r>
          </w:p>
          <w:p w14:paraId="7051D7DD" w14:textId="1DA5AEAE" w:rsidR="0057407D" w:rsidRPr="00750CA9" w:rsidRDefault="0057407D" w:rsidP="00DF6816">
            <w:pPr>
              <w:pStyle w:val="liste1"/>
              <w:rPr>
                <w:rFonts w:asciiTheme="minorHAnsi" w:hAnsiTheme="minorHAnsi"/>
                <w:lang w:val="fr-FR"/>
              </w:rPr>
            </w:pPr>
            <w:r w:rsidRPr="00750CA9">
              <w:rPr>
                <w:rFonts w:asciiTheme="minorHAnsi" w:hAnsiTheme="minorHAnsi"/>
                <w:lang w:val="fr-FR"/>
              </w:rPr>
              <w:t>Mener des plaidoyers pour un engagement plus fort des autorités au niveau central et au niveau décentralisé</w:t>
            </w:r>
          </w:p>
          <w:p w14:paraId="7B328D5F" w14:textId="25284257" w:rsidR="0057407D" w:rsidRDefault="0057407D" w:rsidP="00DF6816">
            <w:pPr>
              <w:pStyle w:val="liste1"/>
              <w:rPr>
                <w:rFonts w:asciiTheme="minorHAnsi" w:hAnsiTheme="minorHAnsi"/>
              </w:rPr>
            </w:pPr>
            <w:r w:rsidRPr="00750CA9">
              <w:rPr>
                <w:rFonts w:asciiTheme="minorHAnsi" w:hAnsiTheme="minorHAnsi"/>
                <w:lang w:val="fr-FR"/>
              </w:rPr>
              <w:t>Mener des plaidoyers auprès de la CMU pour l'intégration dans les paniers de soins des dépenses de santé liées au dépistage et à la prise en charge du VIH</w:t>
            </w:r>
          </w:p>
          <w:p w14:paraId="28D4EC0B" w14:textId="51A0E49C" w:rsidR="00203A93" w:rsidRPr="0076727A" w:rsidRDefault="00203A93" w:rsidP="00750CA9">
            <w:pPr>
              <w:pStyle w:val="liste1"/>
              <w:rPr>
                <w:rFonts w:asciiTheme="minorHAnsi" w:hAnsiTheme="minorHAnsi"/>
                <w:lang w:val="fr-FR"/>
              </w:rPr>
            </w:pPr>
            <w:r w:rsidRPr="00750CA9">
              <w:rPr>
                <w:rFonts w:asciiTheme="minorHAnsi" w:hAnsiTheme="minorHAnsi"/>
                <w:lang w:val="fr-FR"/>
              </w:rPr>
              <w:t xml:space="preserve">Activités Coordination OEV : </w:t>
            </w:r>
            <w:r w:rsidRPr="00203A93">
              <w:t xml:space="preserve">Les </w:t>
            </w:r>
            <w:proofErr w:type="spellStart"/>
            <w:r w:rsidRPr="00203A93">
              <w:t>activités</w:t>
            </w:r>
            <w:proofErr w:type="spellEnd"/>
            <w:r w:rsidRPr="00203A93">
              <w:t xml:space="preserve"> de </w:t>
            </w:r>
            <w:proofErr w:type="spellStart"/>
            <w:r w:rsidRPr="00203A93">
              <w:t>l’ensemble</w:t>
            </w:r>
            <w:proofErr w:type="spellEnd"/>
            <w:r w:rsidRPr="00203A93">
              <w:t xml:space="preserve"> des interventions </w:t>
            </w:r>
            <w:proofErr w:type="spellStart"/>
            <w:r w:rsidRPr="00203A93">
              <w:t>prioritaires</w:t>
            </w:r>
            <w:proofErr w:type="spellEnd"/>
            <w:r w:rsidRPr="00203A93">
              <w:t xml:space="preserve"> sus-</w:t>
            </w:r>
            <w:proofErr w:type="spellStart"/>
            <w:r w:rsidRPr="00203A93">
              <w:t>cités</w:t>
            </w:r>
            <w:proofErr w:type="spellEnd"/>
            <w:r w:rsidRPr="00203A93">
              <w:t xml:space="preserve"> (2 à 6) </w:t>
            </w:r>
            <w:proofErr w:type="spellStart"/>
            <w:r w:rsidRPr="00203A93">
              <w:t>seront</w:t>
            </w:r>
            <w:proofErr w:type="spellEnd"/>
            <w:r w:rsidRPr="00203A93">
              <w:t xml:space="preserve"> </w:t>
            </w:r>
            <w:proofErr w:type="spellStart"/>
            <w:r w:rsidRPr="00203A93">
              <w:t>développées</w:t>
            </w:r>
            <w:proofErr w:type="spellEnd"/>
            <w:r w:rsidRPr="00203A93">
              <w:t xml:space="preserve"> sur la base du </w:t>
            </w:r>
            <w:proofErr w:type="spellStart"/>
            <w:r w:rsidRPr="00203A93">
              <w:t>même</w:t>
            </w:r>
            <w:proofErr w:type="spellEnd"/>
            <w:r w:rsidRPr="00203A93">
              <w:t xml:space="preserve"> </w:t>
            </w:r>
            <w:proofErr w:type="spellStart"/>
            <w:r w:rsidRPr="00203A93">
              <w:t>ciblage</w:t>
            </w:r>
            <w:proofErr w:type="spellEnd"/>
            <w:r w:rsidRPr="00203A93">
              <w:t xml:space="preserve"> que la </w:t>
            </w:r>
            <w:proofErr w:type="spellStart"/>
            <w:r w:rsidRPr="00203A93">
              <w:t>prise</w:t>
            </w:r>
            <w:proofErr w:type="spellEnd"/>
            <w:r w:rsidRPr="00203A93">
              <w:t xml:space="preserve"> </w:t>
            </w:r>
            <w:proofErr w:type="spellStart"/>
            <w:r w:rsidRPr="00203A93">
              <w:t>en</w:t>
            </w:r>
            <w:proofErr w:type="spellEnd"/>
            <w:r w:rsidRPr="00203A93">
              <w:t xml:space="preserve"> charge </w:t>
            </w:r>
            <w:proofErr w:type="spellStart"/>
            <w:r w:rsidRPr="00203A93">
              <w:t>thérapeutique</w:t>
            </w:r>
            <w:proofErr w:type="spellEnd"/>
            <w:r w:rsidRPr="00203A93">
              <w:t xml:space="preserve"> (cf. ci-dessus). </w:t>
            </w:r>
            <w:proofErr w:type="spellStart"/>
            <w:r w:rsidRPr="00203A93">
              <w:t>L’appui</w:t>
            </w:r>
            <w:proofErr w:type="spellEnd"/>
            <w:r w:rsidRPr="00203A93">
              <w:t xml:space="preserve"> au PNOEV </w:t>
            </w:r>
            <w:proofErr w:type="spellStart"/>
            <w:r w:rsidRPr="00203A93">
              <w:t>permettra</w:t>
            </w:r>
            <w:proofErr w:type="spellEnd"/>
            <w:r w:rsidRPr="00203A93">
              <w:t xml:space="preserve"> </w:t>
            </w:r>
            <w:proofErr w:type="spellStart"/>
            <w:r w:rsidRPr="00203A93">
              <w:t>d’améliorer</w:t>
            </w:r>
            <w:proofErr w:type="spellEnd"/>
            <w:r w:rsidRPr="00203A93">
              <w:t xml:space="preserve"> </w:t>
            </w:r>
            <w:proofErr w:type="spellStart"/>
            <w:r w:rsidRPr="00203A93">
              <w:t>l’articulation</w:t>
            </w:r>
            <w:proofErr w:type="spellEnd"/>
            <w:r w:rsidRPr="00203A93">
              <w:t xml:space="preserve"> et la coordination avec les </w:t>
            </w:r>
            <w:proofErr w:type="spellStart"/>
            <w:r w:rsidRPr="00203A93">
              <w:t>activités</w:t>
            </w:r>
            <w:proofErr w:type="spellEnd"/>
            <w:r w:rsidRPr="00203A93">
              <w:t xml:space="preserve"> mises </w:t>
            </w:r>
            <w:proofErr w:type="spellStart"/>
            <w:r w:rsidRPr="00203A93">
              <w:t>en</w:t>
            </w:r>
            <w:proofErr w:type="spellEnd"/>
            <w:r w:rsidRPr="00203A93">
              <w:t xml:space="preserve"> oeuvre par le PEPFAR dans le </w:t>
            </w:r>
            <w:proofErr w:type="spellStart"/>
            <w:r w:rsidRPr="00203A93">
              <w:t>domaine</w:t>
            </w:r>
            <w:proofErr w:type="spellEnd"/>
            <w:r w:rsidRPr="00203A93">
              <w:t xml:space="preserve"> précis de </w:t>
            </w:r>
            <w:proofErr w:type="spellStart"/>
            <w:r w:rsidRPr="00203A93">
              <w:t>l’appui</w:t>
            </w:r>
            <w:proofErr w:type="spellEnd"/>
            <w:r w:rsidRPr="00203A93">
              <w:t xml:space="preserve"> aux OEV</w:t>
            </w:r>
          </w:p>
          <w:p w14:paraId="246F1269" w14:textId="084A46E4" w:rsidR="0076727A" w:rsidRPr="00750CA9" w:rsidRDefault="0076727A" w:rsidP="00750CA9">
            <w:pPr>
              <w:pStyle w:val="liste1"/>
              <w:rPr>
                <w:rFonts w:asciiTheme="minorHAnsi" w:hAnsiTheme="minorHAnsi"/>
                <w:lang w:val="fr-FR"/>
              </w:rPr>
            </w:pPr>
            <w:proofErr w:type="spellStart"/>
            <w:r>
              <w:rPr>
                <w:rFonts w:asciiTheme="minorHAnsi" w:hAnsiTheme="minorHAnsi"/>
              </w:rPr>
              <w:t>Équiper</w:t>
            </w:r>
            <w:proofErr w:type="spellEnd"/>
            <w:r>
              <w:rPr>
                <w:rFonts w:asciiTheme="minorHAnsi" w:hAnsiTheme="minorHAnsi"/>
              </w:rPr>
              <w:t xml:space="preserve"> 115 sites de </w:t>
            </w:r>
            <w:proofErr w:type="spellStart"/>
            <w:r>
              <w:rPr>
                <w:rFonts w:asciiTheme="minorHAnsi" w:hAnsiTheme="minorHAnsi"/>
              </w:rPr>
              <w:t>prise</w:t>
            </w:r>
            <w:proofErr w:type="spellEnd"/>
            <w:r>
              <w:rPr>
                <w:rFonts w:asciiTheme="minorHAnsi" w:hAnsiTheme="minorHAnsi"/>
              </w:rPr>
              <w:t xml:space="preserve"> </w:t>
            </w:r>
            <w:proofErr w:type="spellStart"/>
            <w:r>
              <w:rPr>
                <w:rFonts w:asciiTheme="minorHAnsi" w:hAnsiTheme="minorHAnsi"/>
              </w:rPr>
              <w:t>en</w:t>
            </w:r>
            <w:proofErr w:type="spellEnd"/>
            <w:r>
              <w:rPr>
                <w:rFonts w:asciiTheme="minorHAnsi" w:hAnsiTheme="minorHAnsi"/>
              </w:rPr>
              <w:t xml:space="preserve"> charge </w:t>
            </w:r>
            <w:proofErr w:type="spellStart"/>
            <w:r>
              <w:rPr>
                <w:rFonts w:asciiTheme="minorHAnsi" w:hAnsiTheme="minorHAnsi"/>
              </w:rPr>
              <w:t>en</w:t>
            </w:r>
            <w:proofErr w:type="spellEnd"/>
            <w:r>
              <w:rPr>
                <w:rFonts w:asciiTheme="minorHAnsi" w:hAnsiTheme="minorHAnsi"/>
              </w:rPr>
              <w:t xml:space="preserve"> kits de </w:t>
            </w:r>
            <w:proofErr w:type="spellStart"/>
            <w:r>
              <w:rPr>
                <w:rFonts w:asciiTheme="minorHAnsi" w:hAnsiTheme="minorHAnsi"/>
              </w:rPr>
              <w:t>visioconférence</w:t>
            </w:r>
            <w:proofErr w:type="spellEnd"/>
            <w:r>
              <w:rPr>
                <w:rFonts w:asciiTheme="minorHAnsi" w:hAnsiTheme="minorHAnsi"/>
              </w:rPr>
              <w:t xml:space="preserve"> </w:t>
            </w:r>
            <w:proofErr w:type="spellStart"/>
            <w:r>
              <w:rPr>
                <w:rFonts w:asciiTheme="minorHAnsi" w:hAnsiTheme="minorHAnsi"/>
              </w:rPr>
              <w:t>complet</w:t>
            </w:r>
            <w:proofErr w:type="spellEnd"/>
            <w:r>
              <w:rPr>
                <w:rFonts w:asciiTheme="minorHAnsi" w:hAnsiTheme="minorHAnsi"/>
              </w:rPr>
              <w:t xml:space="preserve"> et </w:t>
            </w:r>
            <w:proofErr w:type="spellStart"/>
            <w:r>
              <w:rPr>
                <w:rFonts w:asciiTheme="minorHAnsi" w:hAnsiTheme="minorHAnsi"/>
              </w:rPr>
              <w:t>apporter</w:t>
            </w:r>
            <w:proofErr w:type="spellEnd"/>
            <w:r>
              <w:rPr>
                <w:rFonts w:asciiTheme="minorHAnsi" w:hAnsiTheme="minorHAnsi"/>
              </w:rPr>
              <w:t xml:space="preserve"> un </w:t>
            </w:r>
            <w:proofErr w:type="spellStart"/>
            <w:r>
              <w:rPr>
                <w:rFonts w:asciiTheme="minorHAnsi" w:hAnsiTheme="minorHAnsi"/>
              </w:rPr>
              <w:t>appui</w:t>
            </w:r>
            <w:proofErr w:type="spellEnd"/>
            <w:r>
              <w:rPr>
                <w:rFonts w:asciiTheme="minorHAnsi" w:hAnsiTheme="minorHAnsi"/>
              </w:rPr>
              <w:t xml:space="preserve"> </w:t>
            </w:r>
            <w:proofErr w:type="spellStart"/>
            <w:r>
              <w:rPr>
                <w:rFonts w:asciiTheme="minorHAnsi" w:hAnsiTheme="minorHAnsi"/>
              </w:rPr>
              <w:t>en</w:t>
            </w:r>
            <w:proofErr w:type="spellEnd"/>
            <w:r>
              <w:rPr>
                <w:rFonts w:asciiTheme="minorHAnsi" w:hAnsiTheme="minorHAnsi"/>
              </w:rPr>
              <w:t xml:space="preserve"> </w:t>
            </w:r>
            <w:proofErr w:type="spellStart"/>
            <w:r>
              <w:rPr>
                <w:rFonts w:asciiTheme="minorHAnsi" w:hAnsiTheme="minorHAnsi"/>
              </w:rPr>
              <w:t>terme</w:t>
            </w:r>
            <w:proofErr w:type="spellEnd"/>
            <w:r>
              <w:rPr>
                <w:rFonts w:asciiTheme="minorHAnsi" w:hAnsiTheme="minorHAnsi"/>
              </w:rPr>
              <w:t xml:space="preserve"> de </w:t>
            </w:r>
            <w:proofErr w:type="spellStart"/>
            <w:r>
              <w:rPr>
                <w:rFonts w:asciiTheme="minorHAnsi" w:hAnsiTheme="minorHAnsi"/>
              </w:rPr>
              <w:t>fourniture</w:t>
            </w:r>
            <w:proofErr w:type="spellEnd"/>
            <w:r>
              <w:rPr>
                <w:rFonts w:asciiTheme="minorHAnsi" w:hAnsiTheme="minorHAnsi"/>
              </w:rPr>
              <w:t xml:space="preserve"> de </w:t>
            </w:r>
            <w:proofErr w:type="spellStart"/>
            <w:r>
              <w:rPr>
                <w:rFonts w:asciiTheme="minorHAnsi" w:hAnsiTheme="minorHAnsi"/>
              </w:rPr>
              <w:t>crédit</w:t>
            </w:r>
            <w:proofErr w:type="spellEnd"/>
            <w:r>
              <w:rPr>
                <w:rFonts w:asciiTheme="minorHAnsi" w:hAnsiTheme="minorHAnsi"/>
              </w:rPr>
              <w:t xml:space="preserve"> internet pour le </w:t>
            </w:r>
            <w:proofErr w:type="spellStart"/>
            <w:r>
              <w:rPr>
                <w:rFonts w:asciiTheme="minorHAnsi" w:hAnsiTheme="minorHAnsi"/>
              </w:rPr>
              <w:t>fonctionnement</w:t>
            </w:r>
            <w:proofErr w:type="spellEnd"/>
            <w:r>
              <w:rPr>
                <w:rFonts w:asciiTheme="minorHAnsi" w:hAnsiTheme="minorHAnsi"/>
              </w:rPr>
              <w:t xml:space="preserve"> des </w:t>
            </w:r>
            <w:proofErr w:type="spellStart"/>
            <w:r>
              <w:rPr>
                <w:rFonts w:asciiTheme="minorHAnsi" w:hAnsiTheme="minorHAnsi"/>
              </w:rPr>
              <w:t>plateformes</w:t>
            </w:r>
            <w:proofErr w:type="spellEnd"/>
            <w:r>
              <w:rPr>
                <w:rFonts w:asciiTheme="minorHAnsi" w:hAnsiTheme="minorHAnsi"/>
              </w:rPr>
              <w:t>.</w:t>
            </w:r>
          </w:p>
          <w:p w14:paraId="6C2970A2" w14:textId="29C6CF3A" w:rsidR="00203A93" w:rsidRPr="00750CA9" w:rsidRDefault="00203A93" w:rsidP="00080EE0">
            <w:pPr>
              <w:pStyle w:val="BodyLetter"/>
            </w:pPr>
          </w:p>
          <w:p w14:paraId="04FAD44D" w14:textId="782B1C27" w:rsidR="00281B6C" w:rsidRPr="00390EA4" w:rsidRDefault="00281B6C" w:rsidP="00390EA4">
            <w:pPr>
              <w:rPr>
                <w:rFonts w:eastAsia="Times New Roman" w:cstheme="minorHAnsi"/>
                <w:sz w:val="22"/>
                <w:szCs w:val="22"/>
                <w:lang w:eastAsia="fr-FR"/>
              </w:rPr>
            </w:pPr>
            <w:r w:rsidRPr="00750CA9">
              <w:rPr>
                <w:lang w:val="fr-FR"/>
              </w:rPr>
              <w:t> </w:t>
            </w:r>
            <w:r w:rsidRPr="00390EA4">
              <w:rPr>
                <w:rFonts w:eastAsia="Times New Roman" w:cstheme="minorHAnsi"/>
                <w:b/>
                <w:bCs/>
                <w:sz w:val="22"/>
                <w:szCs w:val="22"/>
                <w:lang w:eastAsia="fr-FR"/>
              </w:rPr>
              <w:t xml:space="preserve">PR </w:t>
            </w:r>
            <w:proofErr w:type="gramStart"/>
            <w:r w:rsidRPr="00390EA4">
              <w:rPr>
                <w:rFonts w:eastAsia="Times New Roman" w:cstheme="minorHAnsi"/>
                <w:b/>
                <w:bCs/>
                <w:sz w:val="22"/>
                <w:szCs w:val="22"/>
                <w:lang w:eastAsia="fr-FR"/>
              </w:rPr>
              <w:t>Communautaire</w:t>
            </w:r>
            <w:r w:rsidR="00315C60" w:rsidRPr="00390EA4">
              <w:rPr>
                <w:rFonts w:eastAsia="Times New Roman" w:cstheme="minorHAnsi"/>
                <w:b/>
                <w:bCs/>
                <w:sz w:val="22"/>
                <w:szCs w:val="22"/>
                <w:lang w:eastAsia="fr-FR"/>
              </w:rPr>
              <w:t xml:space="preserve"> :</w:t>
            </w:r>
            <w:proofErr w:type="gramEnd"/>
          </w:p>
          <w:p w14:paraId="4E2CB8EF" w14:textId="49B57206" w:rsidR="00281B6C" w:rsidRPr="00390EA4" w:rsidRDefault="00281B6C" w:rsidP="00390EA4">
            <w:pPr>
              <w:pStyle w:val="liste1"/>
              <w:rPr>
                <w:rFonts w:asciiTheme="minorHAnsi" w:hAnsiTheme="minorHAnsi" w:cstheme="minorHAnsi"/>
              </w:rPr>
            </w:pPr>
            <w:r w:rsidRPr="00750CA9">
              <w:rPr>
                <w:rFonts w:asciiTheme="minorHAnsi" w:hAnsiTheme="minorHAnsi"/>
                <w:lang w:val="fr-FR"/>
              </w:rPr>
              <w:t xml:space="preserve">Assurer </w:t>
            </w:r>
            <w:r w:rsidR="00315C60" w:rsidRPr="00750CA9">
              <w:rPr>
                <w:rFonts w:asciiTheme="minorHAnsi" w:hAnsiTheme="minorHAnsi"/>
                <w:lang w:val="fr-FR"/>
              </w:rPr>
              <w:t xml:space="preserve">les </w:t>
            </w:r>
            <w:r w:rsidRPr="00750CA9">
              <w:rPr>
                <w:rFonts w:asciiTheme="minorHAnsi" w:hAnsiTheme="minorHAnsi"/>
                <w:lang w:val="fr-FR"/>
              </w:rPr>
              <w:t>mission</w:t>
            </w:r>
            <w:r w:rsidR="00315C60" w:rsidRPr="00750CA9">
              <w:rPr>
                <w:rFonts w:asciiTheme="minorHAnsi" w:hAnsiTheme="minorHAnsi"/>
                <w:lang w:val="fr-FR"/>
              </w:rPr>
              <w:t>s de</w:t>
            </w:r>
            <w:r w:rsidRPr="00750CA9">
              <w:rPr>
                <w:rFonts w:asciiTheme="minorHAnsi" w:hAnsiTheme="minorHAnsi"/>
                <w:lang w:val="fr-FR"/>
              </w:rPr>
              <w:t xml:space="preserve"> supervision et coaching des ASC-PE et ASC-CC par les SSR</w:t>
            </w:r>
            <w:r w:rsidR="00315C60" w:rsidRPr="00750CA9">
              <w:rPr>
                <w:rFonts w:asciiTheme="minorHAnsi" w:hAnsiTheme="minorHAnsi"/>
                <w:lang w:val="fr-FR"/>
              </w:rPr>
              <w:t xml:space="preserve">, </w:t>
            </w:r>
            <w:r w:rsidRPr="00750CA9">
              <w:rPr>
                <w:rFonts w:asciiTheme="minorHAnsi" w:hAnsiTheme="minorHAnsi"/>
                <w:lang w:val="fr-FR"/>
              </w:rPr>
              <w:t>des délégués régionaux et les parajuristes par la PFRF.</w:t>
            </w:r>
          </w:p>
          <w:p w14:paraId="313FC942" w14:textId="1BD1640B"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 xml:space="preserve">Assurer </w:t>
            </w:r>
            <w:r w:rsidR="00315C60" w:rsidRPr="00750CA9">
              <w:rPr>
                <w:rFonts w:asciiTheme="minorHAnsi" w:hAnsiTheme="minorHAnsi"/>
                <w:lang w:val="fr-FR"/>
              </w:rPr>
              <w:t xml:space="preserve">les </w:t>
            </w:r>
            <w:r w:rsidRPr="00750CA9">
              <w:rPr>
                <w:rFonts w:asciiTheme="minorHAnsi" w:hAnsiTheme="minorHAnsi"/>
                <w:lang w:val="fr-FR"/>
              </w:rPr>
              <w:t>mission</w:t>
            </w:r>
            <w:r w:rsidR="00315C60" w:rsidRPr="00750CA9">
              <w:rPr>
                <w:rFonts w:asciiTheme="minorHAnsi" w:hAnsiTheme="minorHAnsi"/>
                <w:lang w:val="fr-FR"/>
              </w:rPr>
              <w:t>s</w:t>
            </w:r>
            <w:r w:rsidRPr="00750CA9">
              <w:rPr>
                <w:rFonts w:asciiTheme="minorHAnsi" w:hAnsiTheme="minorHAnsi"/>
                <w:lang w:val="fr-FR"/>
              </w:rPr>
              <w:t xml:space="preserve"> de validation des données financières des SR par le PR (équipe Finances/Subventions)</w:t>
            </w:r>
            <w:r w:rsidR="00315C60" w:rsidRPr="00750CA9">
              <w:rPr>
                <w:rFonts w:asciiTheme="minorHAnsi" w:hAnsiTheme="minorHAnsi"/>
                <w:lang w:val="fr-FR"/>
              </w:rPr>
              <w:t xml:space="preserve"> et d</w:t>
            </w:r>
            <w:r w:rsidRPr="00750CA9">
              <w:rPr>
                <w:rFonts w:asciiTheme="minorHAnsi" w:hAnsiTheme="minorHAnsi"/>
                <w:lang w:val="fr-FR"/>
              </w:rPr>
              <w:t>es SSR par les SR</w:t>
            </w:r>
            <w:r w:rsidR="00315C60" w:rsidRPr="00750CA9">
              <w:rPr>
                <w:rFonts w:asciiTheme="minorHAnsi" w:hAnsiTheme="minorHAnsi"/>
                <w:lang w:val="fr-FR"/>
              </w:rPr>
              <w:t>, la validation des données programmatiques des SSR par les SR, la</w:t>
            </w:r>
            <w:r w:rsidRPr="00750CA9">
              <w:rPr>
                <w:rFonts w:asciiTheme="minorHAnsi" w:hAnsiTheme="minorHAnsi"/>
                <w:lang w:val="fr-FR"/>
              </w:rPr>
              <w:t xml:space="preserve"> supervision des SSR par le SR</w:t>
            </w:r>
          </w:p>
          <w:p w14:paraId="0AC8CB2E"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Organiser 1 réunion trimestrielle de coordination de suivi du projet par le SR avec les SSR</w:t>
            </w:r>
          </w:p>
          <w:p w14:paraId="06C865A6" w14:textId="4093D612" w:rsidR="00E16645" w:rsidRPr="00D322E2" w:rsidRDefault="00281B6C" w:rsidP="00E16645">
            <w:pPr>
              <w:pStyle w:val="liste1"/>
              <w:rPr>
                <w:rFonts w:asciiTheme="minorHAnsi" w:hAnsiTheme="minorHAnsi" w:cstheme="minorHAnsi"/>
                <w:i/>
              </w:rPr>
            </w:pPr>
            <w:r w:rsidRPr="00750CA9">
              <w:rPr>
                <w:rFonts w:asciiTheme="minorHAnsi" w:hAnsiTheme="minorHAnsi"/>
                <w:lang w:val="fr-FR"/>
              </w:rPr>
              <w:t>Assurer une mission mensuelle de Supervision des SR par l'équipe Finances /Subventions du PR</w:t>
            </w:r>
            <w:r w:rsidR="00E16645" w:rsidRPr="00750CA9">
              <w:rPr>
                <w:rFonts w:asciiTheme="minorHAnsi" w:hAnsiTheme="minorHAnsi"/>
                <w:lang w:val="fr-FR"/>
              </w:rPr>
              <w:t xml:space="preserve">, </w:t>
            </w:r>
            <w:r w:rsidRPr="00750CA9">
              <w:rPr>
                <w:rFonts w:asciiTheme="minorHAnsi" w:hAnsiTheme="minorHAnsi"/>
                <w:lang w:val="fr-FR"/>
              </w:rPr>
              <w:t>une mission de supervision trimestrielle des activités des SR par l’équipe Programme du PR</w:t>
            </w:r>
            <w:r w:rsidR="00E16645" w:rsidRPr="00750CA9">
              <w:rPr>
                <w:rFonts w:asciiTheme="minorHAnsi" w:hAnsiTheme="minorHAnsi"/>
                <w:lang w:val="fr-FR"/>
              </w:rPr>
              <w:t>, une mission semestrielle RDQA et RSQA pour les données et activités communautaires</w:t>
            </w:r>
          </w:p>
          <w:p w14:paraId="62DB8679"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Reproduire des outils pour la collecte des données</w:t>
            </w:r>
          </w:p>
          <w:p w14:paraId="238EFD88" w14:textId="3987093D"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Assurer la participation du PR communautaire aux réunions / Ateliers au niveau national </w:t>
            </w:r>
            <w:r w:rsidR="00E16645" w:rsidRPr="00750CA9">
              <w:rPr>
                <w:rFonts w:asciiTheme="minorHAnsi" w:hAnsiTheme="minorHAnsi"/>
                <w:lang w:val="fr-FR"/>
              </w:rPr>
              <w:t xml:space="preserve">et </w:t>
            </w:r>
            <w:r w:rsidRPr="00750CA9">
              <w:rPr>
                <w:rFonts w:asciiTheme="minorHAnsi" w:hAnsiTheme="minorHAnsi"/>
                <w:lang w:val="fr-FR"/>
              </w:rPr>
              <w:t>la participation aux réunions et conférences internationales (</w:t>
            </w:r>
            <w:proofErr w:type="spellStart"/>
            <w:r w:rsidRPr="00750CA9">
              <w:rPr>
                <w:rFonts w:asciiTheme="minorHAnsi" w:hAnsiTheme="minorHAnsi"/>
                <w:lang w:val="fr-FR"/>
              </w:rPr>
              <w:t>AfraVIH</w:t>
            </w:r>
            <w:proofErr w:type="spellEnd"/>
            <w:r w:rsidRPr="00750CA9">
              <w:rPr>
                <w:rFonts w:asciiTheme="minorHAnsi" w:hAnsiTheme="minorHAnsi"/>
                <w:lang w:val="fr-FR"/>
              </w:rPr>
              <w:t>, IAS, ICASA, etc.)</w:t>
            </w:r>
          </w:p>
          <w:p w14:paraId="23855BBC" w14:textId="4A747CA5"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lastRenderedPageBreak/>
              <w:t>Assurer une mission trimestrielle de validation des données programmatiques communautaires par l’équipe M&amp;E du PR</w:t>
            </w:r>
            <w:r w:rsidR="00E16645" w:rsidRPr="00750CA9">
              <w:rPr>
                <w:rFonts w:asciiTheme="minorHAnsi" w:hAnsiTheme="minorHAnsi"/>
                <w:lang w:val="fr-FR"/>
              </w:rPr>
              <w:t xml:space="preserve">, </w:t>
            </w:r>
            <w:r w:rsidRPr="00750CA9">
              <w:rPr>
                <w:rFonts w:asciiTheme="minorHAnsi" w:hAnsiTheme="minorHAnsi"/>
                <w:lang w:val="fr-FR"/>
              </w:rPr>
              <w:t>une mission quadrimestrielle d'audit interne des SR par le PR (Auditeur interne)</w:t>
            </w:r>
          </w:p>
          <w:p w14:paraId="6EB6985E" w14:textId="2E03CB81"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Organiseur une réunion de démarrage avec l'ensemble des acteurs impliqués dans le projet</w:t>
            </w:r>
            <w:r w:rsidR="00E16645" w:rsidRPr="00750CA9">
              <w:rPr>
                <w:rFonts w:asciiTheme="minorHAnsi" w:hAnsiTheme="minorHAnsi"/>
                <w:lang w:val="fr-FR"/>
              </w:rPr>
              <w:t>, u</w:t>
            </w:r>
            <w:r w:rsidRPr="00750CA9">
              <w:rPr>
                <w:rFonts w:asciiTheme="minorHAnsi" w:hAnsiTheme="minorHAnsi"/>
                <w:lang w:val="fr-FR"/>
              </w:rPr>
              <w:t xml:space="preserve">ne réunion bilan final du programme </w:t>
            </w:r>
            <w:r w:rsidR="00E16645" w:rsidRPr="00750CA9">
              <w:rPr>
                <w:rFonts w:asciiTheme="minorHAnsi" w:hAnsiTheme="minorHAnsi"/>
                <w:lang w:val="fr-FR"/>
              </w:rPr>
              <w:t xml:space="preserve">communautaire, </w:t>
            </w:r>
            <w:r w:rsidRPr="00750CA9">
              <w:rPr>
                <w:rFonts w:asciiTheme="minorHAnsi" w:hAnsiTheme="minorHAnsi"/>
                <w:lang w:val="fr-FR"/>
              </w:rPr>
              <w:t>des réunions trimestrielles de coordination par an de suivi du projet par le PR avec les SR</w:t>
            </w:r>
          </w:p>
          <w:p w14:paraId="1D7FBC5F" w14:textId="7B52B813"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Apporter un appui au renforcement des capacités des équipes du PR et des SR</w:t>
            </w:r>
            <w:r w:rsidR="00E16645" w:rsidRPr="00750CA9">
              <w:rPr>
                <w:rFonts w:asciiTheme="minorHAnsi" w:hAnsiTheme="minorHAnsi"/>
                <w:lang w:val="fr-FR"/>
              </w:rPr>
              <w:t xml:space="preserve">, ainsi qu’un </w:t>
            </w:r>
            <w:r w:rsidRPr="00750CA9">
              <w:rPr>
                <w:rFonts w:asciiTheme="minorHAnsi" w:hAnsiTheme="minorHAnsi"/>
                <w:lang w:val="fr-FR"/>
              </w:rPr>
              <w:t>appui au fonctionnement de la PFRF</w:t>
            </w:r>
          </w:p>
          <w:p w14:paraId="6A130C5F" w14:textId="4702640F"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 xml:space="preserve">Organiser </w:t>
            </w:r>
            <w:r w:rsidR="00620CCF" w:rsidRPr="00750CA9">
              <w:rPr>
                <w:rFonts w:asciiTheme="minorHAnsi" w:hAnsiTheme="minorHAnsi"/>
                <w:lang w:val="fr-FR"/>
              </w:rPr>
              <w:t>l</w:t>
            </w:r>
            <w:r w:rsidRPr="00750CA9">
              <w:rPr>
                <w:rFonts w:asciiTheme="minorHAnsi" w:hAnsiTheme="minorHAnsi"/>
                <w:lang w:val="fr-FR"/>
              </w:rPr>
              <w:t>es réunions de la conférence des présidents (1 réunion par trimestre)</w:t>
            </w:r>
            <w:r w:rsidR="00620CCF" w:rsidRPr="00750CA9">
              <w:rPr>
                <w:rFonts w:asciiTheme="minorHAnsi" w:hAnsiTheme="minorHAnsi"/>
                <w:lang w:val="fr-FR"/>
              </w:rPr>
              <w:t xml:space="preserve">, </w:t>
            </w:r>
            <w:r w:rsidRPr="00750CA9">
              <w:rPr>
                <w:rFonts w:asciiTheme="minorHAnsi" w:hAnsiTheme="minorHAnsi"/>
                <w:lang w:val="fr-FR"/>
              </w:rPr>
              <w:t>du bureau de la plateforme (1 réunion par trimestre)</w:t>
            </w:r>
            <w:r w:rsidR="00620CCF" w:rsidRPr="00750CA9">
              <w:rPr>
                <w:rFonts w:asciiTheme="minorHAnsi" w:hAnsiTheme="minorHAnsi"/>
                <w:lang w:val="fr-FR"/>
              </w:rPr>
              <w:t xml:space="preserve">, </w:t>
            </w:r>
            <w:r w:rsidRPr="00750CA9">
              <w:rPr>
                <w:rFonts w:asciiTheme="minorHAnsi" w:hAnsiTheme="minorHAnsi"/>
                <w:lang w:val="fr-FR"/>
              </w:rPr>
              <w:t>de la commission technique</w:t>
            </w:r>
            <w:r w:rsidR="00620CCF" w:rsidRPr="00750CA9">
              <w:rPr>
                <w:rFonts w:asciiTheme="minorHAnsi" w:hAnsiTheme="minorHAnsi"/>
                <w:lang w:val="fr-FR"/>
              </w:rPr>
              <w:t xml:space="preserve"> (</w:t>
            </w:r>
            <w:r w:rsidRPr="00750CA9">
              <w:rPr>
                <w:rFonts w:asciiTheme="minorHAnsi" w:hAnsiTheme="minorHAnsi"/>
                <w:lang w:val="fr-FR"/>
              </w:rPr>
              <w:t xml:space="preserve">1 réunion par </w:t>
            </w:r>
            <w:proofErr w:type="spellStart"/>
            <w:r w:rsidR="00620CCF" w:rsidRPr="00750CA9">
              <w:rPr>
                <w:rFonts w:asciiTheme="minorHAnsi" w:hAnsiTheme="minorHAnsi"/>
                <w:lang w:val="fr-FR"/>
              </w:rPr>
              <w:t>trimester</w:t>
            </w:r>
            <w:proofErr w:type="spellEnd"/>
            <w:r w:rsidR="00620CCF" w:rsidRPr="00750CA9">
              <w:rPr>
                <w:rFonts w:asciiTheme="minorHAnsi" w:hAnsiTheme="minorHAnsi"/>
                <w:lang w:val="fr-FR"/>
              </w:rPr>
              <w:t xml:space="preserve">), </w:t>
            </w:r>
            <w:r w:rsidRPr="00750CA9">
              <w:rPr>
                <w:rFonts w:asciiTheme="minorHAnsi" w:hAnsiTheme="minorHAnsi"/>
                <w:lang w:val="fr-FR"/>
              </w:rPr>
              <w:t>les réunions statutaires des 10 réseaux membres de la plateforme (2 réunions par réseaux)</w:t>
            </w:r>
          </w:p>
          <w:p w14:paraId="77CE75F2"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Organiser des missions semestrielles de plaidoyer de la conférence des présidents du système d'alerte de la plateforme</w:t>
            </w:r>
          </w:p>
          <w:p w14:paraId="468FB229"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Organiser l'Assemblée Générale annuelle de la plateforme</w:t>
            </w:r>
          </w:p>
          <w:p w14:paraId="11B2A271"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Assurer une mission mensuelle de validation des données financières des SSR par les SR</w:t>
            </w:r>
          </w:p>
          <w:p w14:paraId="0D0E90D6"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Apporter une assistance technique à la mise en œuvre du programme communautaire (MTEW, Autotests, DIC, autres)</w:t>
            </w:r>
          </w:p>
          <w:p w14:paraId="02D715AC"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Assurer 1 mission trimestrielle de la logistique du SR vers les SSR pour les inventaires physiques des équipements et des intrants (vivres, préservatifs/gels, etc.)</w:t>
            </w:r>
          </w:p>
          <w:p w14:paraId="63AAC271" w14:textId="2B8688C0" w:rsidR="00620CCF" w:rsidRPr="00750CA9" w:rsidRDefault="00620CCF" w:rsidP="00620CCF">
            <w:pPr>
              <w:pStyle w:val="Texteformulaire"/>
              <w:rPr>
                <w:rFonts w:asciiTheme="minorHAnsi" w:hAnsiTheme="minorHAnsi"/>
                <w:lang w:val="fr-FR"/>
              </w:rPr>
            </w:pPr>
            <w:r w:rsidRPr="00750CA9">
              <w:rPr>
                <w:rFonts w:asciiTheme="minorHAnsi" w:hAnsiTheme="minorHAnsi"/>
                <w:lang w:val="fr-FR"/>
              </w:rPr>
              <w:t>Un effort particulier sera fait pour une supervision intégrée TB/VIH par Alliance Côte d’Ivoire lorsque le RS/SSR et le prestataire (ASC) prennent en charge à la fois le VIH et la TB.</w:t>
            </w:r>
          </w:p>
          <w:p w14:paraId="6338E904" w14:textId="77777777" w:rsidR="00620CCF" w:rsidRPr="00750CA9" w:rsidRDefault="00620CCF" w:rsidP="00390EA4">
            <w:pPr>
              <w:rPr>
                <w:lang w:val="fr-FR"/>
              </w:rPr>
            </w:pPr>
          </w:p>
          <w:p w14:paraId="1067163E" w14:textId="7F47FA98" w:rsidR="00281B6C" w:rsidRPr="00390EA4" w:rsidRDefault="00281B6C" w:rsidP="006F6940">
            <w:pPr>
              <w:pStyle w:val="NormalJBGS"/>
              <w:numPr>
                <w:ilvl w:val="0"/>
                <w:numId w:val="42"/>
              </w:numPr>
              <w:jc w:val="both"/>
              <w:rPr>
                <w:rFonts w:asciiTheme="minorHAnsi" w:hAnsiTheme="minorHAnsi" w:cstheme="minorHAnsi"/>
                <w:b/>
                <w:bCs/>
                <w:i w:val="0"/>
                <w:color w:val="404040" w:themeColor="text1"/>
                <w:sz w:val="22"/>
                <w:szCs w:val="22"/>
                <w:lang w:val="fr-FR"/>
              </w:rPr>
            </w:pPr>
            <w:r w:rsidRPr="00390EA4">
              <w:rPr>
                <w:rFonts w:asciiTheme="minorHAnsi" w:hAnsiTheme="minorHAnsi" w:cstheme="minorHAnsi"/>
                <w:b/>
                <w:bCs/>
                <w:i w:val="0"/>
                <w:color w:val="404040" w:themeColor="text1"/>
                <w:sz w:val="22"/>
                <w:szCs w:val="22"/>
                <w:lang w:val="fr-FR"/>
              </w:rPr>
              <w:t>Gestion des subventions</w:t>
            </w:r>
          </w:p>
          <w:p w14:paraId="1A5C7D0D" w14:textId="078A92D2" w:rsidR="00E16645" w:rsidRPr="00750CA9" w:rsidRDefault="00281B6C" w:rsidP="00390EA4">
            <w:pPr>
              <w:pStyle w:val="Texteformulaire"/>
              <w:rPr>
                <w:rFonts w:asciiTheme="minorHAnsi" w:hAnsiTheme="minorHAnsi"/>
                <w:lang w:val="fr-FR"/>
              </w:rPr>
            </w:pPr>
            <w:r w:rsidRPr="00750CA9">
              <w:rPr>
                <w:rFonts w:asciiTheme="minorHAnsi" w:hAnsiTheme="minorHAnsi"/>
                <w:lang w:val="fr-FR"/>
              </w:rPr>
              <w:t xml:space="preserve">Il s’agit de la demande de financement permettant de gérer la subvention avec les 2 PR, les SR et des SSR décrits dans la section 3 concernant la mise en œuvre. </w:t>
            </w:r>
          </w:p>
          <w:p w14:paraId="2C29D315" w14:textId="77777777" w:rsidR="00DF12D0" w:rsidRPr="00390EA4" w:rsidRDefault="00DF12D0" w:rsidP="00DF12D0">
            <w:pPr>
              <w:spacing w:line="240" w:lineRule="auto"/>
              <w:jc w:val="both"/>
              <w:rPr>
                <w:rFonts w:cstheme="minorHAnsi"/>
                <w:sz w:val="22"/>
                <w:szCs w:val="22"/>
              </w:rPr>
            </w:pPr>
            <w:r w:rsidRPr="00390EA4">
              <w:rPr>
                <w:rFonts w:cstheme="minorHAnsi"/>
                <w:b/>
                <w:sz w:val="22"/>
                <w:szCs w:val="22"/>
              </w:rPr>
              <w:t xml:space="preserve">PR </w:t>
            </w:r>
            <w:proofErr w:type="gramStart"/>
            <w:r w:rsidRPr="00390EA4">
              <w:rPr>
                <w:rFonts w:cstheme="minorHAnsi"/>
                <w:b/>
                <w:sz w:val="22"/>
                <w:szCs w:val="22"/>
              </w:rPr>
              <w:t>Public :</w:t>
            </w:r>
            <w:proofErr w:type="gramEnd"/>
            <w:r w:rsidRPr="00390EA4">
              <w:rPr>
                <w:rFonts w:cstheme="minorHAnsi"/>
                <w:b/>
                <w:sz w:val="22"/>
                <w:szCs w:val="22"/>
              </w:rPr>
              <w:t xml:space="preserve"> </w:t>
            </w:r>
          </w:p>
          <w:p w14:paraId="3F5D21E6" w14:textId="77777777" w:rsidR="003E4E1F" w:rsidRPr="00390EA4" w:rsidRDefault="003E4E1F" w:rsidP="00390EA4">
            <w:pPr>
              <w:pStyle w:val="liste1"/>
              <w:rPr>
                <w:rFonts w:asciiTheme="minorHAnsi" w:hAnsiTheme="minorHAnsi" w:cstheme="minorHAnsi"/>
                <w:color w:val="000000"/>
              </w:rPr>
            </w:pPr>
            <w:r w:rsidRPr="00750CA9">
              <w:rPr>
                <w:rFonts w:asciiTheme="minorHAnsi" w:hAnsiTheme="minorHAnsi"/>
                <w:color w:val="000000"/>
                <w:lang w:val="fr-FR"/>
              </w:rPr>
              <w:t>Appui au fonctionnement du Bureau du PNLS</w:t>
            </w:r>
          </w:p>
          <w:p w14:paraId="103B3DDA" w14:textId="4A781D31" w:rsidR="003E4E1F" w:rsidRPr="00390EA4" w:rsidRDefault="003E4E1F" w:rsidP="00390EA4">
            <w:pPr>
              <w:pStyle w:val="liste1"/>
              <w:rPr>
                <w:rFonts w:asciiTheme="minorHAnsi" w:hAnsiTheme="minorHAnsi" w:cstheme="minorHAnsi"/>
                <w:color w:val="000000"/>
              </w:rPr>
            </w:pPr>
            <w:r w:rsidRPr="00750CA9">
              <w:rPr>
                <w:rFonts w:asciiTheme="minorHAnsi" w:hAnsiTheme="minorHAnsi"/>
                <w:color w:val="000000"/>
                <w:lang w:val="fr-FR"/>
              </w:rPr>
              <w:t>Recrutement de personnel</w:t>
            </w:r>
            <w:r w:rsidR="00620CCF" w:rsidRPr="00750CA9">
              <w:rPr>
                <w:rFonts w:asciiTheme="minorHAnsi" w:hAnsiTheme="minorHAnsi"/>
                <w:color w:val="000000"/>
                <w:lang w:val="fr-FR"/>
              </w:rPr>
              <w:t xml:space="preserve"> au PNLS, assurer salaires et autres frais liés aux ressources humaines recrutées pour la subvention et a</w:t>
            </w:r>
            <w:r w:rsidRPr="00750CA9">
              <w:rPr>
                <w:rFonts w:asciiTheme="minorHAnsi" w:hAnsiTheme="minorHAnsi"/>
                <w:color w:val="000000"/>
                <w:lang w:val="fr-FR"/>
              </w:rPr>
              <w:t xml:space="preserve">ssurer les primes liées à la performance </w:t>
            </w:r>
          </w:p>
          <w:p w14:paraId="4BC099F4" w14:textId="77777777" w:rsidR="003E4E1F" w:rsidRPr="00390EA4" w:rsidRDefault="003E4E1F" w:rsidP="00390EA4">
            <w:pPr>
              <w:pStyle w:val="liste1"/>
              <w:rPr>
                <w:rFonts w:asciiTheme="minorHAnsi" w:hAnsiTheme="minorHAnsi" w:cstheme="minorHAnsi"/>
                <w:color w:val="000000"/>
              </w:rPr>
            </w:pPr>
            <w:r w:rsidRPr="00750CA9">
              <w:rPr>
                <w:rFonts w:asciiTheme="minorHAnsi" w:hAnsiTheme="minorHAnsi"/>
                <w:color w:val="000000"/>
                <w:lang w:val="fr-FR"/>
              </w:rPr>
              <w:t>Contribuer à la participation à des réunions et conférences et formations internationales pour le PNLS</w:t>
            </w:r>
          </w:p>
          <w:p w14:paraId="36DF039A" w14:textId="77777777" w:rsidR="003E4E1F" w:rsidRPr="00390EA4" w:rsidRDefault="003E4E1F" w:rsidP="00390EA4">
            <w:pPr>
              <w:pStyle w:val="liste1"/>
              <w:rPr>
                <w:rFonts w:asciiTheme="minorHAnsi" w:hAnsiTheme="minorHAnsi" w:cstheme="minorHAnsi"/>
                <w:color w:val="000000"/>
              </w:rPr>
            </w:pPr>
            <w:r w:rsidRPr="00750CA9">
              <w:rPr>
                <w:rFonts w:asciiTheme="minorHAnsi" w:hAnsiTheme="minorHAnsi"/>
                <w:color w:val="000000"/>
                <w:lang w:val="fr-FR"/>
              </w:rPr>
              <w:t>Organiser une mission annuelle d'inventaire des immobilisations acquises sur le FM</w:t>
            </w:r>
            <w:r w:rsidRPr="00390EA4">
              <w:rPr>
                <w:rFonts w:asciiTheme="minorHAnsi" w:hAnsiTheme="minorHAnsi" w:cstheme="minorHAnsi"/>
              </w:rPr>
              <w:t xml:space="preserve"> </w:t>
            </w:r>
            <w:r w:rsidRPr="00390EA4">
              <w:rPr>
                <w:rFonts w:asciiTheme="minorHAnsi" w:hAnsiTheme="minorHAnsi" w:cstheme="minorHAnsi"/>
                <w:color w:val="000000"/>
              </w:rPr>
              <w:t>(</w:t>
            </w:r>
            <w:proofErr w:type="spellStart"/>
            <w:r w:rsidRPr="00390EA4">
              <w:rPr>
                <w:rFonts w:asciiTheme="minorHAnsi" w:hAnsiTheme="minorHAnsi" w:cstheme="minorHAnsi"/>
                <w:color w:val="000000"/>
              </w:rPr>
              <w:t>coût</w:t>
            </w:r>
            <w:proofErr w:type="spellEnd"/>
            <w:r w:rsidRPr="00390EA4">
              <w:rPr>
                <w:rFonts w:asciiTheme="minorHAnsi" w:hAnsiTheme="minorHAnsi" w:cstheme="minorHAnsi"/>
                <w:color w:val="000000"/>
              </w:rPr>
              <w:t xml:space="preserve"> </w:t>
            </w:r>
            <w:proofErr w:type="spellStart"/>
            <w:r w:rsidRPr="00390EA4">
              <w:rPr>
                <w:rFonts w:asciiTheme="minorHAnsi" w:hAnsiTheme="minorHAnsi" w:cstheme="minorHAnsi"/>
                <w:color w:val="000000"/>
              </w:rPr>
              <w:t>partagé</w:t>
            </w:r>
            <w:proofErr w:type="spellEnd"/>
            <w:r w:rsidRPr="00390EA4">
              <w:rPr>
                <w:rFonts w:asciiTheme="minorHAnsi" w:hAnsiTheme="minorHAnsi" w:cstheme="minorHAnsi"/>
                <w:color w:val="000000"/>
              </w:rPr>
              <w:t xml:space="preserve"> PNLT et </w:t>
            </w:r>
            <w:r w:rsidRPr="00750CA9">
              <w:rPr>
                <w:rFonts w:asciiTheme="minorHAnsi" w:hAnsiTheme="minorHAnsi"/>
                <w:color w:val="000000"/>
                <w:lang w:val="fr-FR"/>
              </w:rPr>
              <w:t>PNLP)</w:t>
            </w:r>
          </w:p>
          <w:p w14:paraId="712E87BE" w14:textId="47BB9E7D" w:rsidR="00620CCF" w:rsidRPr="00390EA4" w:rsidRDefault="003E4E1F" w:rsidP="00620CCF">
            <w:pPr>
              <w:pStyle w:val="liste1"/>
              <w:rPr>
                <w:rFonts w:asciiTheme="minorHAnsi" w:hAnsiTheme="minorHAnsi" w:cstheme="minorHAnsi"/>
                <w:color w:val="000000"/>
              </w:rPr>
            </w:pPr>
            <w:r w:rsidRPr="00750CA9">
              <w:rPr>
                <w:rFonts w:asciiTheme="minorHAnsi" w:hAnsiTheme="minorHAnsi"/>
                <w:color w:val="000000"/>
                <w:lang w:val="fr-FR"/>
              </w:rPr>
              <w:t>Acquérir du matériel roulant et informatique</w:t>
            </w:r>
            <w:r w:rsidR="00620CCF" w:rsidRPr="00750CA9">
              <w:rPr>
                <w:rFonts w:asciiTheme="minorHAnsi" w:hAnsiTheme="minorHAnsi"/>
                <w:color w:val="000000"/>
                <w:lang w:val="fr-FR"/>
              </w:rPr>
              <w:t xml:space="preserve"> et en assurer la maintenance ; assurer maintenance et assistance du logiciel TOMPRO</w:t>
            </w:r>
          </w:p>
          <w:p w14:paraId="62589E4F" w14:textId="77777777" w:rsidR="00620CCF" w:rsidRPr="00390EA4" w:rsidRDefault="00620CCF" w:rsidP="00620CCF">
            <w:pPr>
              <w:pStyle w:val="liste1"/>
              <w:rPr>
                <w:rFonts w:asciiTheme="minorHAnsi" w:hAnsiTheme="minorHAnsi" w:cstheme="minorHAnsi"/>
                <w:color w:val="000000"/>
              </w:rPr>
            </w:pPr>
            <w:proofErr w:type="spellStart"/>
            <w:r w:rsidRPr="00390EA4">
              <w:rPr>
                <w:rFonts w:asciiTheme="minorHAnsi" w:hAnsiTheme="minorHAnsi" w:cstheme="minorHAnsi"/>
                <w:color w:val="000000"/>
              </w:rPr>
              <w:t>Réaliser</w:t>
            </w:r>
            <w:proofErr w:type="spellEnd"/>
            <w:r w:rsidRPr="00390EA4">
              <w:rPr>
                <w:rFonts w:asciiTheme="minorHAnsi" w:hAnsiTheme="minorHAnsi" w:cstheme="minorHAnsi"/>
                <w:color w:val="000000"/>
              </w:rPr>
              <w:t xml:space="preserve"> </w:t>
            </w:r>
            <w:proofErr w:type="spellStart"/>
            <w:r w:rsidRPr="00390EA4">
              <w:rPr>
                <w:rFonts w:asciiTheme="minorHAnsi" w:hAnsiTheme="minorHAnsi" w:cstheme="minorHAnsi"/>
                <w:color w:val="000000"/>
              </w:rPr>
              <w:t>l'audit</w:t>
            </w:r>
            <w:proofErr w:type="spellEnd"/>
            <w:r w:rsidRPr="00390EA4">
              <w:rPr>
                <w:rFonts w:asciiTheme="minorHAnsi" w:hAnsiTheme="minorHAnsi" w:cstheme="minorHAnsi"/>
                <w:color w:val="000000"/>
              </w:rPr>
              <w:t xml:space="preserve"> financier </w:t>
            </w:r>
            <w:proofErr w:type="spellStart"/>
            <w:r w:rsidRPr="00390EA4">
              <w:rPr>
                <w:rFonts w:asciiTheme="minorHAnsi" w:hAnsiTheme="minorHAnsi" w:cstheme="minorHAnsi"/>
                <w:color w:val="000000"/>
              </w:rPr>
              <w:t>annuel</w:t>
            </w:r>
            <w:proofErr w:type="spellEnd"/>
            <w:r w:rsidRPr="00390EA4">
              <w:rPr>
                <w:rFonts w:asciiTheme="minorHAnsi" w:hAnsiTheme="minorHAnsi" w:cstheme="minorHAnsi"/>
                <w:color w:val="000000"/>
              </w:rPr>
              <w:t xml:space="preserve"> du PR</w:t>
            </w:r>
            <w:r w:rsidRPr="00750CA9">
              <w:rPr>
                <w:rFonts w:asciiTheme="minorHAnsi" w:hAnsiTheme="minorHAnsi"/>
                <w:color w:val="000000"/>
                <w:lang w:val="fr-FR"/>
              </w:rPr>
              <w:t xml:space="preserve"> PNLS (coût partagé PNLT et PNLP)</w:t>
            </w:r>
          </w:p>
          <w:p w14:paraId="145A5A7C" w14:textId="77777777" w:rsidR="00DF12D0" w:rsidRPr="00390EA4" w:rsidRDefault="00DF12D0" w:rsidP="00DF12D0">
            <w:pPr>
              <w:rPr>
                <w:rFonts w:eastAsia="Times New Roman" w:cstheme="minorHAnsi"/>
                <w:sz w:val="22"/>
                <w:szCs w:val="22"/>
                <w:lang w:eastAsia="fr-FR"/>
              </w:rPr>
            </w:pPr>
            <w:r w:rsidRPr="00390EA4">
              <w:rPr>
                <w:rFonts w:eastAsia="Times New Roman" w:cstheme="minorHAnsi"/>
                <w:b/>
                <w:bCs/>
                <w:sz w:val="22"/>
                <w:szCs w:val="22"/>
                <w:lang w:eastAsia="fr-FR"/>
              </w:rPr>
              <w:t xml:space="preserve">PR </w:t>
            </w:r>
            <w:proofErr w:type="gramStart"/>
            <w:r w:rsidRPr="00390EA4">
              <w:rPr>
                <w:rFonts w:eastAsia="Times New Roman" w:cstheme="minorHAnsi"/>
                <w:b/>
                <w:bCs/>
                <w:sz w:val="22"/>
                <w:szCs w:val="22"/>
                <w:lang w:eastAsia="fr-FR"/>
              </w:rPr>
              <w:t>Communautaire :</w:t>
            </w:r>
            <w:proofErr w:type="gramEnd"/>
          </w:p>
          <w:p w14:paraId="06F647B9" w14:textId="340B75E6"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Frais de gestion du PR</w:t>
            </w:r>
            <w:r w:rsidR="00620CCF" w:rsidRPr="00750CA9">
              <w:rPr>
                <w:rFonts w:asciiTheme="minorHAnsi" w:hAnsiTheme="minorHAnsi"/>
                <w:lang w:val="fr-FR"/>
              </w:rPr>
              <w:t xml:space="preserve"> et des</w:t>
            </w:r>
            <w:r w:rsidRPr="00750CA9">
              <w:rPr>
                <w:rFonts w:asciiTheme="minorHAnsi" w:hAnsiTheme="minorHAnsi"/>
                <w:lang w:val="fr-FR"/>
              </w:rPr>
              <w:t xml:space="preserve"> SR/PS/SSR</w:t>
            </w:r>
          </w:p>
          <w:p w14:paraId="086724B8" w14:textId="1E422369" w:rsidR="00620CCF" w:rsidRPr="00390EA4" w:rsidRDefault="00281B6C" w:rsidP="00620CCF">
            <w:pPr>
              <w:pStyle w:val="liste1"/>
              <w:rPr>
                <w:rFonts w:asciiTheme="minorHAnsi" w:hAnsiTheme="minorHAnsi" w:cstheme="minorHAnsi"/>
                <w:i/>
              </w:rPr>
            </w:pPr>
            <w:r w:rsidRPr="00750CA9">
              <w:rPr>
                <w:rFonts w:asciiTheme="minorHAnsi" w:hAnsiTheme="minorHAnsi"/>
                <w:lang w:val="fr-FR"/>
              </w:rPr>
              <w:t xml:space="preserve">Assurer les Indemnités de licenciement du personnel dédié au programme VIH des SR </w:t>
            </w:r>
            <w:r w:rsidR="00620CCF" w:rsidRPr="00750CA9">
              <w:rPr>
                <w:rFonts w:asciiTheme="minorHAnsi" w:hAnsiTheme="minorHAnsi"/>
                <w:lang w:val="fr-FR"/>
              </w:rPr>
              <w:t xml:space="preserve">et les indemnités de fin contrat du PR Communautaire pour motif de fin de la subvention déc. 2023  </w:t>
            </w:r>
          </w:p>
          <w:p w14:paraId="3A09B035" w14:textId="77777777" w:rsidR="00620CCF" w:rsidRPr="00390EA4" w:rsidRDefault="00620CCF" w:rsidP="00620CCF">
            <w:pPr>
              <w:pStyle w:val="liste1"/>
              <w:rPr>
                <w:rFonts w:asciiTheme="minorHAnsi" w:hAnsiTheme="minorHAnsi" w:cstheme="minorHAnsi"/>
                <w:i/>
              </w:rPr>
            </w:pPr>
            <w:r w:rsidRPr="00750CA9">
              <w:rPr>
                <w:rFonts w:asciiTheme="minorHAnsi" w:hAnsiTheme="minorHAnsi"/>
                <w:lang w:val="fr-FR"/>
              </w:rPr>
              <w:t>Apporter un appui au fonctionnement du Bureau du PR Alliance CI (frais fixes, assurance maladie)</w:t>
            </w:r>
          </w:p>
          <w:p w14:paraId="3E7DFBB5" w14:textId="60BD07AA"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lastRenderedPageBreak/>
              <w:t>Apporter un appui au fonctionnement du SR/PS (assurance maladie, véhicules et motos)</w:t>
            </w:r>
            <w:r w:rsidR="00620CCF" w:rsidRPr="00750CA9">
              <w:rPr>
                <w:rFonts w:asciiTheme="minorHAnsi" w:hAnsiTheme="minorHAnsi"/>
                <w:lang w:val="fr-FR"/>
              </w:rPr>
              <w:t xml:space="preserve"> et au fonctionnement des SSR</w:t>
            </w:r>
          </w:p>
          <w:p w14:paraId="403F9C3C" w14:textId="42804BD4"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 xml:space="preserve">Assurer le </w:t>
            </w:r>
            <w:r w:rsidR="00620CCF" w:rsidRPr="00750CA9">
              <w:rPr>
                <w:rFonts w:asciiTheme="minorHAnsi" w:hAnsiTheme="minorHAnsi"/>
                <w:lang w:val="fr-FR"/>
              </w:rPr>
              <w:t>salaire des personnels du PR, des SR/PS et</w:t>
            </w:r>
            <w:r w:rsidRPr="00750CA9">
              <w:rPr>
                <w:rFonts w:asciiTheme="minorHAnsi" w:hAnsiTheme="minorHAnsi"/>
                <w:lang w:val="fr-FR"/>
              </w:rPr>
              <w:t xml:space="preserve"> des SSR</w:t>
            </w:r>
            <w:r w:rsidR="00620CCF" w:rsidRPr="00750CA9">
              <w:rPr>
                <w:rFonts w:asciiTheme="minorHAnsi" w:hAnsiTheme="minorHAnsi"/>
                <w:lang w:val="fr-FR"/>
              </w:rPr>
              <w:t xml:space="preserve">, </w:t>
            </w:r>
          </w:p>
          <w:p w14:paraId="63598848"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Assurer les primes de motivation des ASC-CC, délégués régionaux, et parajuristes</w:t>
            </w:r>
          </w:p>
          <w:p w14:paraId="64098EF0" w14:textId="77777777" w:rsidR="00281B6C" w:rsidRPr="00390EA4" w:rsidRDefault="00281B6C" w:rsidP="00390EA4">
            <w:pPr>
              <w:pStyle w:val="liste1"/>
              <w:rPr>
                <w:rFonts w:asciiTheme="minorHAnsi" w:hAnsiTheme="minorHAnsi" w:cstheme="minorHAnsi"/>
                <w:i/>
              </w:rPr>
            </w:pPr>
            <w:r w:rsidRPr="00750CA9">
              <w:rPr>
                <w:rFonts w:asciiTheme="minorHAnsi" w:hAnsiTheme="minorHAnsi"/>
                <w:lang w:val="fr-FR"/>
              </w:rPr>
              <w:t>Acquérir du matériel (véhicules, motos)</w:t>
            </w:r>
          </w:p>
          <w:p w14:paraId="0A75B96D" w14:textId="28F1D5A2" w:rsidR="00281B6C" w:rsidRPr="00390EA4" w:rsidRDefault="00620CCF" w:rsidP="00390EA4">
            <w:pPr>
              <w:pStyle w:val="liste1"/>
              <w:rPr>
                <w:rFonts w:asciiTheme="minorHAnsi" w:hAnsiTheme="minorHAnsi" w:cstheme="minorHAnsi"/>
                <w:i/>
              </w:rPr>
            </w:pPr>
            <w:r w:rsidRPr="00750CA9">
              <w:rPr>
                <w:rFonts w:asciiTheme="minorHAnsi" w:hAnsiTheme="minorHAnsi"/>
                <w:lang w:val="fr-FR"/>
              </w:rPr>
              <w:t>Acquérir du matériel informatique et a</w:t>
            </w:r>
            <w:r w:rsidR="00281B6C" w:rsidRPr="00750CA9">
              <w:rPr>
                <w:rFonts w:asciiTheme="minorHAnsi" w:hAnsiTheme="minorHAnsi"/>
                <w:lang w:val="fr-FR"/>
              </w:rPr>
              <w:t>ssurer la maintenance du matériel informatique</w:t>
            </w:r>
          </w:p>
          <w:p w14:paraId="1B0746A7" w14:textId="77777777" w:rsidR="00620CCF" w:rsidRPr="00390EA4" w:rsidRDefault="00620CCF" w:rsidP="00620CCF">
            <w:pPr>
              <w:pStyle w:val="liste1"/>
              <w:rPr>
                <w:rFonts w:asciiTheme="minorHAnsi" w:hAnsiTheme="minorHAnsi" w:cstheme="minorHAnsi"/>
                <w:i/>
              </w:rPr>
            </w:pPr>
            <w:r w:rsidRPr="00750CA9">
              <w:rPr>
                <w:rFonts w:asciiTheme="minorHAnsi" w:hAnsiTheme="minorHAnsi"/>
                <w:lang w:val="fr-FR"/>
              </w:rPr>
              <w:t xml:space="preserve">Organiser des sessions d'orientation des Responsables de suivi évaluation des SR et SSR, des Chargés de programme des SR et SSR, et sur la gestion financière/de subvention des SSR et SR. </w:t>
            </w:r>
          </w:p>
          <w:p w14:paraId="1C07DD2B" w14:textId="44A7358F" w:rsidR="00281B6C" w:rsidRPr="00390EA4" w:rsidRDefault="00620CCF" w:rsidP="00390EA4">
            <w:pPr>
              <w:pStyle w:val="liste1"/>
              <w:rPr>
                <w:i/>
              </w:rPr>
            </w:pPr>
            <w:r w:rsidRPr="00750CA9">
              <w:rPr>
                <w:rFonts w:asciiTheme="minorHAnsi" w:hAnsiTheme="minorHAnsi"/>
                <w:lang w:val="fr-FR"/>
              </w:rPr>
              <w:t>Réaliser un Audit financier annuel du PR et des SR et réaliser une évaluation externe finale du programme VIH communautaire</w:t>
            </w:r>
          </w:p>
        </w:tc>
      </w:tr>
      <w:tr w:rsidR="00817208" w:rsidRPr="0037522B" w14:paraId="5D6C0BAC" w14:textId="77777777" w:rsidTr="007A0F0B">
        <w:trPr>
          <w:trHeight w:val="288"/>
        </w:trPr>
        <w:tc>
          <w:tcPr>
            <w:tcW w:w="1560" w:type="dxa"/>
            <w:shd w:val="clear" w:color="auto" w:fill="F2F2F2"/>
            <w:vAlign w:val="center"/>
          </w:tcPr>
          <w:p w14:paraId="7CD29B80" w14:textId="6C69CE70" w:rsidR="00817208" w:rsidRPr="007F7A64" w:rsidRDefault="00817208" w:rsidP="00E80CEF">
            <w:pPr>
              <w:spacing w:after="0"/>
              <w:rPr>
                <w:b/>
              </w:rPr>
            </w:pPr>
            <w:r>
              <w:rPr>
                <w:b/>
                <w:lang w:bidi="fr-FR"/>
              </w:rPr>
              <w:lastRenderedPageBreak/>
              <w:t xml:space="preserve">Populations </w:t>
            </w:r>
            <w:proofErr w:type="spellStart"/>
            <w:r>
              <w:rPr>
                <w:b/>
                <w:lang w:bidi="fr-FR"/>
              </w:rPr>
              <w:t>prioritaires</w:t>
            </w:r>
            <w:proofErr w:type="spellEnd"/>
          </w:p>
        </w:tc>
        <w:tc>
          <w:tcPr>
            <w:tcW w:w="9240" w:type="dxa"/>
          </w:tcPr>
          <w:p w14:paraId="36A47011" w14:textId="5B1B909F" w:rsidR="00817208" w:rsidRPr="00390EA4" w:rsidRDefault="00817208" w:rsidP="00080EE0">
            <w:pPr>
              <w:pStyle w:val="Texteformulaire"/>
            </w:pPr>
            <w:r w:rsidRPr="00390EA4">
              <w:t xml:space="preserve">Les agents des </w:t>
            </w:r>
            <w:proofErr w:type="spellStart"/>
            <w:r w:rsidRPr="00390EA4">
              <w:t>Programmes</w:t>
            </w:r>
            <w:proofErr w:type="spellEnd"/>
            <w:r w:rsidRPr="00390EA4">
              <w:t xml:space="preserve"> à </w:t>
            </w:r>
            <w:proofErr w:type="spellStart"/>
            <w:r w:rsidRPr="00390EA4">
              <w:t>tous</w:t>
            </w:r>
            <w:proofErr w:type="spellEnd"/>
            <w:r w:rsidRPr="00390EA4">
              <w:t xml:space="preserve"> les </w:t>
            </w:r>
            <w:proofErr w:type="spellStart"/>
            <w:r w:rsidRPr="00390EA4">
              <w:t>niveaux</w:t>
            </w:r>
            <w:proofErr w:type="spellEnd"/>
            <w:r w:rsidRPr="00390EA4">
              <w:t xml:space="preserve"> </w:t>
            </w:r>
            <w:proofErr w:type="spellStart"/>
            <w:r w:rsidRPr="00390EA4">
              <w:t>ainsi</w:t>
            </w:r>
            <w:proofErr w:type="spellEnd"/>
            <w:r w:rsidRPr="00390EA4">
              <w:t xml:space="preserve"> que les </w:t>
            </w:r>
            <w:proofErr w:type="spellStart"/>
            <w:r w:rsidRPr="00390EA4">
              <w:t>récipiendaires</w:t>
            </w:r>
            <w:proofErr w:type="spellEnd"/>
            <w:r w:rsidRPr="00390EA4">
              <w:t xml:space="preserve"> </w:t>
            </w:r>
            <w:proofErr w:type="spellStart"/>
            <w:r w:rsidRPr="00390EA4">
              <w:t>principaux</w:t>
            </w:r>
            <w:proofErr w:type="spellEnd"/>
            <w:r w:rsidRPr="00390EA4">
              <w:t xml:space="preserve"> et les sous-</w:t>
            </w:r>
            <w:proofErr w:type="spellStart"/>
            <w:r w:rsidRPr="00390EA4">
              <w:t>récipiendaires</w:t>
            </w:r>
            <w:proofErr w:type="spellEnd"/>
            <w:r w:rsidRPr="00390EA4">
              <w:t xml:space="preserve"> de la subvention du FM.</w:t>
            </w:r>
          </w:p>
        </w:tc>
      </w:tr>
      <w:tr w:rsidR="00817208" w:rsidRPr="0037522B" w14:paraId="28A58DB3" w14:textId="77777777" w:rsidTr="007A0F0B">
        <w:trPr>
          <w:trHeight w:val="288"/>
        </w:trPr>
        <w:tc>
          <w:tcPr>
            <w:tcW w:w="1560" w:type="dxa"/>
            <w:shd w:val="clear" w:color="auto" w:fill="F2F2F2"/>
            <w:vAlign w:val="center"/>
          </w:tcPr>
          <w:p w14:paraId="1508BAFA" w14:textId="77777777" w:rsidR="00817208" w:rsidRDefault="00817208" w:rsidP="00E80CEF">
            <w:pPr>
              <w:spacing w:after="0"/>
              <w:rPr>
                <w:b/>
              </w:rPr>
            </w:pPr>
            <w:r>
              <w:rPr>
                <w:b/>
                <w:lang w:bidi="fr-FR"/>
              </w:rPr>
              <w:t xml:space="preserve">Obstacles et </w:t>
            </w:r>
            <w:proofErr w:type="spellStart"/>
            <w:r>
              <w:rPr>
                <w:b/>
                <w:lang w:bidi="fr-FR"/>
              </w:rPr>
              <w:t>inégalités</w:t>
            </w:r>
            <w:proofErr w:type="spellEnd"/>
          </w:p>
        </w:tc>
        <w:tc>
          <w:tcPr>
            <w:tcW w:w="9240" w:type="dxa"/>
          </w:tcPr>
          <w:p w14:paraId="4D38073D" w14:textId="77777777" w:rsidR="00817208" w:rsidRPr="00190D61" w:rsidRDefault="00817208" w:rsidP="00DF6816">
            <w:pPr>
              <w:pStyle w:val="liste1"/>
              <w:rPr>
                <w:lang w:eastAsia="fr-FR"/>
              </w:rPr>
            </w:pPr>
            <w:proofErr w:type="spellStart"/>
            <w:r w:rsidRPr="00190D61">
              <w:rPr>
                <w:lang w:eastAsia="fr-FR"/>
              </w:rPr>
              <w:t>Insuffisance</w:t>
            </w:r>
            <w:proofErr w:type="spellEnd"/>
            <w:r w:rsidRPr="00190D61">
              <w:rPr>
                <w:lang w:eastAsia="fr-FR"/>
              </w:rPr>
              <w:t xml:space="preserve"> de </w:t>
            </w:r>
            <w:proofErr w:type="spellStart"/>
            <w:r w:rsidRPr="00190D61">
              <w:rPr>
                <w:lang w:eastAsia="fr-FR"/>
              </w:rPr>
              <w:t>matériels</w:t>
            </w:r>
            <w:proofErr w:type="spellEnd"/>
            <w:r w:rsidRPr="00190D61">
              <w:rPr>
                <w:lang w:eastAsia="fr-FR"/>
              </w:rPr>
              <w:t xml:space="preserve"> </w:t>
            </w:r>
            <w:proofErr w:type="spellStart"/>
            <w:r w:rsidRPr="00190D61">
              <w:rPr>
                <w:lang w:eastAsia="fr-FR"/>
              </w:rPr>
              <w:t>roulants</w:t>
            </w:r>
            <w:proofErr w:type="spellEnd"/>
            <w:r w:rsidRPr="00190D61">
              <w:rPr>
                <w:lang w:eastAsia="fr-FR"/>
              </w:rPr>
              <w:t>.</w:t>
            </w:r>
          </w:p>
          <w:p w14:paraId="797A8699" w14:textId="738C2835" w:rsidR="00817208" w:rsidRPr="00750CA9" w:rsidRDefault="00DF6816" w:rsidP="00DF6816">
            <w:pPr>
              <w:pStyle w:val="liste1"/>
              <w:rPr>
                <w:lang w:val="fr-FR"/>
              </w:rPr>
            </w:pPr>
            <w:r w:rsidRPr="00750CA9">
              <w:rPr>
                <w:lang w:val="fr-FR"/>
              </w:rPr>
              <w:t>N</w:t>
            </w:r>
            <w:r w:rsidR="00817208" w:rsidRPr="00750CA9">
              <w:rPr>
                <w:lang w:val="fr-FR"/>
              </w:rPr>
              <w:t>on fonctionnalité des véhicules et matériels roulants.</w:t>
            </w:r>
          </w:p>
          <w:p w14:paraId="6C8A9ACF" w14:textId="77777777" w:rsidR="00817208" w:rsidRPr="00190D61" w:rsidRDefault="00817208" w:rsidP="00DF6816">
            <w:pPr>
              <w:pStyle w:val="liste1"/>
              <w:rPr>
                <w:lang w:eastAsia="fr-FR"/>
              </w:rPr>
            </w:pPr>
            <w:proofErr w:type="spellStart"/>
            <w:r w:rsidRPr="00190D61">
              <w:rPr>
                <w:lang w:eastAsia="fr-FR"/>
              </w:rPr>
              <w:t>Insuffisance</w:t>
            </w:r>
            <w:proofErr w:type="spellEnd"/>
            <w:r w:rsidRPr="00190D61">
              <w:rPr>
                <w:lang w:eastAsia="fr-FR"/>
              </w:rPr>
              <w:t xml:space="preserve"> de </w:t>
            </w:r>
            <w:proofErr w:type="spellStart"/>
            <w:r w:rsidRPr="00190D61">
              <w:rPr>
                <w:lang w:eastAsia="fr-FR"/>
              </w:rPr>
              <w:t>ressources</w:t>
            </w:r>
            <w:proofErr w:type="spellEnd"/>
            <w:r w:rsidRPr="00190D61">
              <w:rPr>
                <w:lang w:eastAsia="fr-FR"/>
              </w:rPr>
              <w:t xml:space="preserve"> </w:t>
            </w:r>
            <w:proofErr w:type="spellStart"/>
            <w:r w:rsidRPr="00190D61">
              <w:rPr>
                <w:lang w:eastAsia="fr-FR"/>
              </w:rPr>
              <w:t>humaines</w:t>
            </w:r>
            <w:proofErr w:type="spellEnd"/>
            <w:r w:rsidRPr="00190D61">
              <w:rPr>
                <w:lang w:eastAsia="fr-FR"/>
              </w:rPr>
              <w:t>.</w:t>
            </w:r>
          </w:p>
          <w:p w14:paraId="1C61E186" w14:textId="77777777" w:rsidR="00817208" w:rsidRPr="00750CA9" w:rsidRDefault="00817208" w:rsidP="00DF6816">
            <w:pPr>
              <w:pStyle w:val="liste1"/>
              <w:rPr>
                <w:lang w:val="fr-FR"/>
              </w:rPr>
            </w:pPr>
            <w:r w:rsidRPr="00750CA9">
              <w:rPr>
                <w:lang w:val="fr-FR"/>
              </w:rPr>
              <w:t xml:space="preserve">Lenteur dans le traitement des marchés liée à la </w:t>
            </w:r>
            <w:proofErr w:type="spellStart"/>
            <w:r w:rsidRPr="00750CA9">
              <w:rPr>
                <w:lang w:val="fr-FR"/>
              </w:rPr>
              <w:t>complexté</w:t>
            </w:r>
            <w:proofErr w:type="spellEnd"/>
            <w:r w:rsidRPr="00750CA9">
              <w:rPr>
                <w:lang w:val="fr-FR"/>
              </w:rPr>
              <w:t xml:space="preserve"> du manuel de procédures.</w:t>
            </w:r>
          </w:p>
          <w:p w14:paraId="7215A1ED" w14:textId="77777777" w:rsidR="00817208" w:rsidRPr="00190D61" w:rsidRDefault="00817208" w:rsidP="00DF6816">
            <w:pPr>
              <w:pStyle w:val="liste1"/>
              <w:rPr>
                <w:lang w:eastAsia="fr-FR"/>
              </w:rPr>
            </w:pPr>
            <w:proofErr w:type="spellStart"/>
            <w:r w:rsidRPr="00190D61">
              <w:rPr>
                <w:lang w:eastAsia="fr-FR"/>
              </w:rPr>
              <w:t>Mesures</w:t>
            </w:r>
            <w:proofErr w:type="spellEnd"/>
            <w:r w:rsidRPr="00190D61">
              <w:rPr>
                <w:lang w:eastAsia="fr-FR"/>
              </w:rPr>
              <w:t xml:space="preserve"> correctrices</w:t>
            </w:r>
          </w:p>
          <w:p w14:paraId="42F1EF8B" w14:textId="62EF690C" w:rsidR="00817208" w:rsidRPr="00750CA9" w:rsidRDefault="00817208" w:rsidP="00DF6816">
            <w:pPr>
              <w:pStyle w:val="liste1"/>
              <w:rPr>
                <w:lang w:val="fr-FR"/>
              </w:rPr>
            </w:pPr>
            <w:proofErr w:type="spellStart"/>
            <w:r w:rsidRPr="00750CA9">
              <w:rPr>
                <w:lang w:val="fr-FR"/>
              </w:rPr>
              <w:t>Reviser</w:t>
            </w:r>
            <w:proofErr w:type="spellEnd"/>
            <w:r w:rsidRPr="00750CA9">
              <w:rPr>
                <w:lang w:val="fr-FR"/>
              </w:rPr>
              <w:t xml:space="preserve"> et simplifier le manuel de procédures pour l’adapter à un contexte de gestion de programme.</w:t>
            </w:r>
          </w:p>
          <w:p w14:paraId="0AF9B51B" w14:textId="567F7772" w:rsidR="00817208" w:rsidRPr="00750CA9" w:rsidRDefault="00817208" w:rsidP="00DF6816">
            <w:pPr>
              <w:pStyle w:val="liste1"/>
              <w:rPr>
                <w:lang w:val="fr-FR"/>
              </w:rPr>
            </w:pPr>
            <w:r w:rsidRPr="00750CA9">
              <w:rPr>
                <w:lang w:val="fr-FR"/>
              </w:rPr>
              <w:t xml:space="preserve">Mettre en place des mesures de </w:t>
            </w:r>
            <w:proofErr w:type="spellStart"/>
            <w:r w:rsidRPr="00750CA9">
              <w:rPr>
                <w:lang w:val="fr-FR"/>
              </w:rPr>
              <w:t>retention</w:t>
            </w:r>
            <w:proofErr w:type="spellEnd"/>
            <w:r w:rsidRPr="00750CA9">
              <w:rPr>
                <w:lang w:val="fr-FR"/>
              </w:rPr>
              <w:t xml:space="preserve"> du personnel.</w:t>
            </w:r>
          </w:p>
        </w:tc>
      </w:tr>
      <w:tr w:rsidR="00813B03" w:rsidRPr="0037522B" w14:paraId="6428D952" w14:textId="77777777" w:rsidTr="007A0F0B">
        <w:trPr>
          <w:trHeight w:val="288"/>
        </w:trPr>
        <w:tc>
          <w:tcPr>
            <w:tcW w:w="1560" w:type="dxa"/>
            <w:shd w:val="clear" w:color="auto" w:fill="F2F2F2"/>
            <w:vAlign w:val="center"/>
          </w:tcPr>
          <w:p w14:paraId="7239CB0A" w14:textId="77777777" w:rsidR="00813B03" w:rsidRPr="007F7A64" w:rsidRDefault="00813B03" w:rsidP="00E80CEF">
            <w:pPr>
              <w:spacing w:after="0"/>
              <w:rPr>
                <w:b/>
              </w:rPr>
            </w:pPr>
            <w:r>
              <w:rPr>
                <w:b/>
                <w:lang w:bidi="fr-FR"/>
              </w:rPr>
              <w:t>Justification</w:t>
            </w:r>
            <w:r>
              <w:rPr>
                <w:b/>
                <w:lang w:bidi="fr-FR"/>
              </w:rPr>
              <w:tab/>
            </w:r>
          </w:p>
        </w:tc>
        <w:tc>
          <w:tcPr>
            <w:tcW w:w="9240" w:type="dxa"/>
          </w:tcPr>
          <w:p w14:paraId="2E2F359F" w14:textId="72203D03" w:rsidR="00813B03" w:rsidRPr="00390EA4" w:rsidRDefault="00813B03" w:rsidP="00080EE0">
            <w:pPr>
              <w:pStyle w:val="Texteformulaire"/>
            </w:pPr>
            <w:r w:rsidRPr="00390EA4">
              <w:rPr>
                <w:lang w:eastAsia="fr-FR"/>
              </w:rPr>
              <w:t>La mise en œuvre des interventions de coordination et de gestion de la subvention permettra d’améliorer la performance du programme de lutte contre les IST/VIH/sida</w:t>
            </w:r>
          </w:p>
        </w:tc>
      </w:tr>
      <w:tr w:rsidR="00813B03" w:rsidRPr="0037522B" w14:paraId="7DA73B05" w14:textId="77777777" w:rsidTr="007A0F0B">
        <w:trPr>
          <w:trHeight w:val="288"/>
        </w:trPr>
        <w:tc>
          <w:tcPr>
            <w:tcW w:w="1560" w:type="dxa"/>
            <w:shd w:val="clear" w:color="auto" w:fill="F2F2F2"/>
            <w:vAlign w:val="center"/>
          </w:tcPr>
          <w:p w14:paraId="0E260059" w14:textId="77777777" w:rsidR="00813B03" w:rsidRPr="007F7A64" w:rsidRDefault="00813B03" w:rsidP="00E80CEF">
            <w:pPr>
              <w:spacing w:after="0"/>
              <w:rPr>
                <w:b/>
              </w:rPr>
            </w:pPr>
            <w:proofErr w:type="spellStart"/>
            <w:r w:rsidRPr="007F7A64">
              <w:rPr>
                <w:b/>
                <w:lang w:bidi="fr-FR"/>
              </w:rPr>
              <w:t>Résultats</w:t>
            </w:r>
            <w:proofErr w:type="spellEnd"/>
            <w:r w:rsidRPr="007F7A64">
              <w:rPr>
                <w:b/>
                <w:lang w:bidi="fr-FR"/>
              </w:rPr>
              <w:t xml:space="preserve"> </w:t>
            </w:r>
            <w:proofErr w:type="spellStart"/>
            <w:r w:rsidRPr="007F7A64">
              <w:rPr>
                <w:b/>
                <w:lang w:bidi="fr-FR"/>
              </w:rPr>
              <w:t>attendus</w:t>
            </w:r>
            <w:proofErr w:type="spellEnd"/>
          </w:p>
        </w:tc>
        <w:tc>
          <w:tcPr>
            <w:tcW w:w="9240" w:type="dxa"/>
          </w:tcPr>
          <w:p w14:paraId="72AC5F32" w14:textId="5DBE8E2E" w:rsidR="00813B03" w:rsidRPr="00390EA4" w:rsidRDefault="00813B03" w:rsidP="00080EE0">
            <w:pPr>
              <w:pStyle w:val="Texteformulaire"/>
            </w:pPr>
            <w:r w:rsidRPr="00750CA9">
              <w:t>La coordination est assurée à tous les niveaux pour mener la survei</w:t>
            </w:r>
            <w:r w:rsidR="00C95EAA" w:rsidRPr="00750CA9">
              <w:t>llance, la supervision nationale</w:t>
            </w:r>
            <w:r w:rsidRPr="00750CA9">
              <w:t>,</w:t>
            </w:r>
            <w:r w:rsidR="00E16645" w:rsidRPr="00750CA9">
              <w:t xml:space="preserve"> </w:t>
            </w:r>
            <w:r w:rsidRPr="00750CA9">
              <w:t>la planification et le partenariat de qualité.</w:t>
            </w:r>
          </w:p>
          <w:p w14:paraId="59CCE93D" w14:textId="77777777" w:rsidR="00813B03" w:rsidRPr="00390EA4" w:rsidRDefault="00813B03" w:rsidP="00080EE0">
            <w:pPr>
              <w:pStyle w:val="Texteformulaire"/>
            </w:pPr>
            <w:r w:rsidRPr="00750CA9">
              <w:t>La disponibilité de ressources humaines de qualité et de matériels roulants fonctionnels permettant de mener à bien les activités.</w:t>
            </w:r>
          </w:p>
          <w:p w14:paraId="62E81CD6" w14:textId="251CAE8A" w:rsidR="00813B03" w:rsidRPr="00390EA4" w:rsidRDefault="00813B03" w:rsidP="00080EE0">
            <w:pPr>
              <w:pStyle w:val="Texteformulaire"/>
            </w:pPr>
            <w:r w:rsidRPr="00750CA9">
              <w:t>Le manuel de procédure simplifié permettra d’accélérer les appels d’offres</w:t>
            </w:r>
          </w:p>
        </w:tc>
      </w:tr>
      <w:tr w:rsidR="00817208" w:rsidRPr="007F7A64" w14:paraId="58AF294A" w14:textId="77777777" w:rsidTr="007A0F0B">
        <w:trPr>
          <w:trHeight w:val="288"/>
        </w:trPr>
        <w:tc>
          <w:tcPr>
            <w:tcW w:w="1560" w:type="dxa"/>
            <w:shd w:val="clear" w:color="auto" w:fill="F2F2F2"/>
            <w:vAlign w:val="center"/>
          </w:tcPr>
          <w:p w14:paraId="139023A2" w14:textId="77777777" w:rsidR="00817208" w:rsidRPr="00C44844" w:rsidRDefault="00817208" w:rsidP="00E80CEF">
            <w:pPr>
              <w:spacing w:after="0"/>
              <w:rPr>
                <w:b/>
              </w:rPr>
            </w:pPr>
            <w:proofErr w:type="spellStart"/>
            <w:r w:rsidRPr="007F7A64">
              <w:rPr>
                <w:b/>
                <w:lang w:bidi="fr-FR"/>
              </w:rPr>
              <w:t>Investissement</w:t>
            </w:r>
            <w:proofErr w:type="spellEnd"/>
            <w:r w:rsidRPr="007F7A64">
              <w:rPr>
                <w:b/>
                <w:lang w:bidi="fr-FR"/>
              </w:rPr>
              <w:t xml:space="preserve"> </w:t>
            </w:r>
            <w:proofErr w:type="spellStart"/>
            <w:r w:rsidRPr="007F7A64">
              <w:rPr>
                <w:b/>
                <w:lang w:bidi="fr-FR"/>
              </w:rPr>
              <w:t>attendu</w:t>
            </w:r>
            <w:proofErr w:type="spellEnd"/>
          </w:p>
        </w:tc>
        <w:tc>
          <w:tcPr>
            <w:tcW w:w="9240" w:type="dxa"/>
          </w:tcPr>
          <w:p w14:paraId="1BB3B839" w14:textId="7D160096" w:rsidR="00817208" w:rsidRPr="00661CE1" w:rsidRDefault="00DB293F" w:rsidP="00DB293F">
            <w:pPr>
              <w:pStyle w:val="Texteformulaire"/>
              <w:rPr>
                <w:b/>
                <w:bCs/>
              </w:rPr>
            </w:pPr>
            <w:r w:rsidRPr="002D0EC2">
              <w:rPr>
                <w:b/>
                <w:bCs/>
                <w:color w:val="FF0000"/>
              </w:rPr>
              <w:t>1</w:t>
            </w:r>
            <w:r w:rsidR="0044115C" w:rsidRPr="002D0EC2">
              <w:rPr>
                <w:b/>
                <w:bCs/>
                <w:color w:val="FF0000"/>
              </w:rPr>
              <w:t>5</w:t>
            </w:r>
            <w:r w:rsidRPr="002D0EC2">
              <w:rPr>
                <w:b/>
                <w:bCs/>
                <w:color w:val="FF0000"/>
              </w:rPr>
              <w:t xml:space="preserve"> </w:t>
            </w:r>
            <w:r w:rsidR="0044115C" w:rsidRPr="002D0EC2">
              <w:rPr>
                <w:b/>
                <w:bCs/>
                <w:color w:val="FF0000"/>
              </w:rPr>
              <w:t>074</w:t>
            </w:r>
            <w:r w:rsidRPr="002D0EC2">
              <w:rPr>
                <w:b/>
                <w:bCs/>
                <w:color w:val="FF0000"/>
              </w:rPr>
              <w:t> </w:t>
            </w:r>
            <w:r w:rsidR="0044115C" w:rsidRPr="002D0EC2">
              <w:rPr>
                <w:b/>
                <w:bCs/>
                <w:color w:val="FF0000"/>
              </w:rPr>
              <w:t>594</w:t>
            </w:r>
            <w:r w:rsidRPr="002D0EC2">
              <w:rPr>
                <w:b/>
                <w:bCs/>
                <w:color w:val="FF0000"/>
              </w:rPr>
              <w:t xml:space="preserve"> euros (1</w:t>
            </w:r>
            <w:r w:rsidR="0044115C" w:rsidRPr="002D0EC2">
              <w:rPr>
                <w:b/>
                <w:bCs/>
                <w:color w:val="FF0000"/>
              </w:rPr>
              <w:t>9</w:t>
            </w:r>
            <w:r w:rsidRPr="002D0EC2">
              <w:rPr>
                <w:b/>
                <w:bCs/>
                <w:color w:val="FF0000"/>
              </w:rPr>
              <w:t>%)</w:t>
            </w:r>
          </w:p>
        </w:tc>
      </w:tr>
    </w:tbl>
    <w:p w14:paraId="7B8EB6CD" w14:textId="77777777" w:rsidR="0012401D" w:rsidRDefault="0012401D" w:rsidP="009B6C0D">
      <w:pPr>
        <w:spacing w:after="0"/>
        <w:rPr>
          <w:i/>
          <w:sz w:val="16"/>
        </w:rPr>
      </w:pPr>
    </w:p>
    <w:p w14:paraId="2D07C7D7" w14:textId="77777777" w:rsidR="0012401D" w:rsidRDefault="0012401D" w:rsidP="009B6C0D">
      <w:pPr>
        <w:spacing w:after="0"/>
        <w:rPr>
          <w:i/>
          <w:sz w:val="16"/>
        </w:rPr>
      </w:pPr>
    </w:p>
    <w:tbl>
      <w:tblPr>
        <w:tblStyle w:val="TableGrid30"/>
        <w:tblW w:w="5000" w:type="pct"/>
        <w:tblLook w:val="04A0" w:firstRow="1" w:lastRow="0" w:firstColumn="1" w:lastColumn="0" w:noHBand="0" w:noVBand="1"/>
      </w:tblPr>
      <w:tblGrid>
        <w:gridCol w:w="1662"/>
        <w:gridCol w:w="8794"/>
      </w:tblGrid>
      <w:tr w:rsidR="007B41DA" w:rsidRPr="00390EA4" w14:paraId="267D7577" w14:textId="77777777" w:rsidTr="00390EA4">
        <w:trPr>
          <w:trHeight w:val="486"/>
        </w:trPr>
        <w:tc>
          <w:tcPr>
            <w:tcW w:w="608" w:type="pct"/>
            <w:shd w:val="clear" w:color="auto" w:fill="F2F2F2"/>
            <w:vAlign w:val="center"/>
          </w:tcPr>
          <w:p w14:paraId="24509828" w14:textId="77777777" w:rsidR="007B41DA" w:rsidRPr="00390EA4" w:rsidRDefault="007B41DA" w:rsidP="00390EA4">
            <w:pPr>
              <w:spacing w:after="0"/>
              <w:rPr>
                <w:b/>
                <w:sz w:val="22"/>
                <w:szCs w:val="22"/>
              </w:rPr>
            </w:pPr>
            <w:proofErr w:type="gramStart"/>
            <w:r w:rsidRPr="00390EA4">
              <w:rPr>
                <w:b/>
                <w:sz w:val="22"/>
                <w:szCs w:val="22"/>
                <w:lang w:bidi="fr-FR"/>
              </w:rPr>
              <w:t>N</w:t>
            </w:r>
            <w:r w:rsidRPr="00390EA4">
              <w:rPr>
                <w:b/>
                <w:sz w:val="22"/>
                <w:szCs w:val="22"/>
                <w:vertAlign w:val="superscript"/>
                <w:lang w:bidi="fr-FR"/>
              </w:rPr>
              <w:t>o</w:t>
            </w:r>
            <w:proofErr w:type="gramEnd"/>
            <w:r w:rsidRPr="00390EA4">
              <w:rPr>
                <w:b/>
                <w:sz w:val="22"/>
                <w:szCs w:val="22"/>
                <w:lang w:bidi="fr-FR"/>
              </w:rPr>
              <w:t xml:space="preserve"> de module</w:t>
            </w:r>
          </w:p>
        </w:tc>
        <w:tc>
          <w:tcPr>
            <w:tcW w:w="4392" w:type="pct"/>
            <w:vAlign w:val="center"/>
          </w:tcPr>
          <w:p w14:paraId="42EA02E2" w14:textId="7B242DB0" w:rsidR="007B41DA" w:rsidRPr="00390EA4" w:rsidRDefault="007B41DA" w:rsidP="00390EA4">
            <w:pPr>
              <w:spacing w:after="0"/>
              <w:rPr>
                <w:sz w:val="22"/>
                <w:szCs w:val="22"/>
              </w:rPr>
            </w:pPr>
            <w:bookmarkStart w:id="21" w:name="_Hlk40769218"/>
            <w:r w:rsidRPr="00390EA4">
              <w:rPr>
                <w:b/>
                <w:sz w:val="22"/>
                <w:szCs w:val="22"/>
              </w:rPr>
              <w:t xml:space="preserve">Module </w:t>
            </w:r>
            <w:proofErr w:type="gramStart"/>
            <w:r w:rsidRPr="00390EA4">
              <w:rPr>
                <w:b/>
                <w:sz w:val="22"/>
                <w:szCs w:val="22"/>
              </w:rPr>
              <w:t>8</w:t>
            </w:r>
            <w:r w:rsidR="00C6707B" w:rsidRPr="00390EA4">
              <w:rPr>
                <w:b/>
                <w:sz w:val="22"/>
                <w:szCs w:val="22"/>
              </w:rPr>
              <w:t xml:space="preserve"> </w:t>
            </w:r>
            <w:r w:rsidRPr="00390EA4">
              <w:rPr>
                <w:b/>
                <w:sz w:val="22"/>
                <w:szCs w:val="22"/>
              </w:rPr>
              <w:t>:</w:t>
            </w:r>
            <w:proofErr w:type="gramEnd"/>
            <w:r w:rsidRPr="00390EA4">
              <w:rPr>
                <w:sz w:val="22"/>
                <w:szCs w:val="22"/>
              </w:rPr>
              <w:t xml:space="preserve"> </w:t>
            </w:r>
            <w:proofErr w:type="spellStart"/>
            <w:r w:rsidRPr="00390EA4">
              <w:rPr>
                <w:b/>
                <w:sz w:val="22"/>
                <w:szCs w:val="22"/>
              </w:rPr>
              <w:t>Renforcement</w:t>
            </w:r>
            <w:proofErr w:type="spellEnd"/>
            <w:r w:rsidRPr="00390EA4">
              <w:rPr>
                <w:b/>
                <w:sz w:val="22"/>
                <w:szCs w:val="22"/>
              </w:rPr>
              <w:t xml:space="preserve"> du </w:t>
            </w:r>
            <w:proofErr w:type="spellStart"/>
            <w:r w:rsidRPr="00390EA4">
              <w:rPr>
                <w:b/>
                <w:sz w:val="22"/>
                <w:szCs w:val="22"/>
              </w:rPr>
              <w:t>système</w:t>
            </w:r>
            <w:proofErr w:type="spellEnd"/>
            <w:r w:rsidR="00E45EB3" w:rsidRPr="00390EA4">
              <w:rPr>
                <w:b/>
                <w:sz w:val="22"/>
                <w:szCs w:val="22"/>
              </w:rPr>
              <w:t xml:space="preserve"> </w:t>
            </w:r>
            <w:proofErr w:type="spellStart"/>
            <w:r w:rsidR="00E45EB3" w:rsidRPr="00390EA4">
              <w:rPr>
                <w:b/>
                <w:sz w:val="22"/>
                <w:szCs w:val="22"/>
              </w:rPr>
              <w:t>communautaire</w:t>
            </w:r>
            <w:bookmarkEnd w:id="21"/>
            <w:proofErr w:type="spellEnd"/>
          </w:p>
        </w:tc>
      </w:tr>
      <w:tr w:rsidR="007B41DA" w:rsidRPr="00F00BB3" w14:paraId="41733FCB" w14:textId="77777777" w:rsidTr="007A0F0B">
        <w:trPr>
          <w:trHeight w:val="288"/>
        </w:trPr>
        <w:tc>
          <w:tcPr>
            <w:tcW w:w="608" w:type="pct"/>
            <w:shd w:val="clear" w:color="auto" w:fill="F2F2F2"/>
            <w:vAlign w:val="center"/>
          </w:tcPr>
          <w:p w14:paraId="36101625" w14:textId="77777777" w:rsidR="007B41DA" w:rsidRPr="00D723C9" w:rsidRDefault="007B41DA" w:rsidP="00E80CEF">
            <w:pPr>
              <w:spacing w:after="0"/>
              <w:rPr>
                <w:rFonts w:cs="Arial"/>
                <w:b/>
              </w:rPr>
            </w:pPr>
            <w:proofErr w:type="spellStart"/>
            <w:r w:rsidRPr="00D723C9">
              <w:rPr>
                <w:rFonts w:cs="Arial"/>
                <w:b/>
                <w:lang w:bidi="fr-FR"/>
              </w:rPr>
              <w:t>Principales</w:t>
            </w:r>
            <w:proofErr w:type="spellEnd"/>
            <w:r w:rsidRPr="00D723C9">
              <w:rPr>
                <w:rFonts w:cs="Arial"/>
                <w:b/>
                <w:lang w:bidi="fr-FR"/>
              </w:rPr>
              <w:t xml:space="preserve"> interventions et </w:t>
            </w:r>
            <w:proofErr w:type="spellStart"/>
            <w:r w:rsidRPr="00D723C9">
              <w:rPr>
                <w:rFonts w:cs="Arial"/>
                <w:b/>
                <w:lang w:bidi="fr-FR"/>
              </w:rPr>
              <w:t>activités</w:t>
            </w:r>
            <w:proofErr w:type="spellEnd"/>
          </w:p>
        </w:tc>
        <w:tc>
          <w:tcPr>
            <w:tcW w:w="4392" w:type="pct"/>
          </w:tcPr>
          <w:p w14:paraId="222E60F6" w14:textId="1FEEDD9B" w:rsidR="007B41DA" w:rsidRPr="00750CA9" w:rsidRDefault="007B41DA" w:rsidP="00390EA4">
            <w:pPr>
              <w:pStyle w:val="Texteformulaire"/>
              <w:rPr>
                <w:lang w:val="fr-FR"/>
              </w:rPr>
            </w:pPr>
            <w:r w:rsidRPr="00750CA9">
              <w:rPr>
                <w:lang w:val="fr-FR"/>
              </w:rPr>
              <w:t>Dans le cadre l’implication des communautés dans le suivi de la réponse aux trois pandémies, trois modèles de surveillance ont été mise en place avec le financement du Fonds Mondial</w:t>
            </w:r>
            <w:r w:rsidR="00032DCD" w:rsidRPr="00750CA9">
              <w:rPr>
                <w:lang w:val="fr-FR"/>
              </w:rPr>
              <w:t xml:space="preserve"> </w:t>
            </w:r>
            <w:r w:rsidRPr="00750CA9">
              <w:rPr>
                <w:lang w:val="fr-FR"/>
              </w:rPr>
              <w:t>:</w:t>
            </w:r>
          </w:p>
          <w:p w14:paraId="684A76D6" w14:textId="29B84639" w:rsidR="007B41DA" w:rsidRPr="00FC2A4F" w:rsidRDefault="007B41DA" w:rsidP="00390EA4">
            <w:pPr>
              <w:pStyle w:val="liste1"/>
            </w:pPr>
            <w:proofErr w:type="spellStart"/>
            <w:r>
              <w:rPr>
                <w:color w:val="000000"/>
              </w:rPr>
              <w:t>L’observatoire</w:t>
            </w:r>
            <w:proofErr w:type="spellEnd"/>
            <w:r>
              <w:rPr>
                <w:color w:val="000000"/>
              </w:rPr>
              <w:t xml:space="preserve"> </w:t>
            </w:r>
            <w:proofErr w:type="spellStart"/>
            <w:r>
              <w:rPr>
                <w:color w:val="000000"/>
              </w:rPr>
              <w:t>communautaire</w:t>
            </w:r>
            <w:proofErr w:type="spellEnd"/>
            <w:r w:rsidRPr="00FC2A4F">
              <w:rPr>
                <w:color w:val="000000"/>
              </w:rPr>
              <w:t xml:space="preserve"> </w:t>
            </w:r>
            <w:r w:rsidRPr="00FC2A4F">
              <w:t>sur le</w:t>
            </w:r>
            <w:r>
              <w:t>s</w:t>
            </w:r>
            <w:r w:rsidRPr="00FC2A4F">
              <w:t xml:space="preserve"> Droit</w:t>
            </w:r>
            <w:r>
              <w:t>s</w:t>
            </w:r>
            <w:r w:rsidRPr="00FC2A4F">
              <w:t xml:space="preserve"> </w:t>
            </w:r>
            <w:proofErr w:type="spellStart"/>
            <w:r w:rsidRPr="00FC2A4F">
              <w:t>Humain</w:t>
            </w:r>
            <w:r>
              <w:t>s</w:t>
            </w:r>
            <w:proofErr w:type="spellEnd"/>
            <w:r>
              <w:t xml:space="preserve"> </w:t>
            </w:r>
            <w:proofErr w:type="spellStart"/>
            <w:r>
              <w:t>porté</w:t>
            </w:r>
            <w:proofErr w:type="spellEnd"/>
            <w:r>
              <w:t xml:space="preserve"> par ENDA S</w:t>
            </w:r>
            <w:r w:rsidR="00032DCD">
              <w:t>anté</w:t>
            </w:r>
            <w:r>
              <w:t xml:space="preserve"> </w:t>
            </w:r>
          </w:p>
          <w:p w14:paraId="0BBDD5CC" w14:textId="218A2B2B" w:rsidR="007B41DA" w:rsidRPr="00FC2A4F" w:rsidRDefault="007B41DA" w:rsidP="00390EA4">
            <w:pPr>
              <w:pStyle w:val="liste1"/>
            </w:pPr>
            <w:proofErr w:type="spellStart"/>
            <w:r>
              <w:rPr>
                <w:color w:val="000000"/>
              </w:rPr>
              <w:t>L’observatoire</w:t>
            </w:r>
            <w:proofErr w:type="spellEnd"/>
            <w:r>
              <w:rPr>
                <w:color w:val="000000"/>
              </w:rPr>
              <w:t xml:space="preserve"> </w:t>
            </w:r>
            <w:proofErr w:type="spellStart"/>
            <w:r>
              <w:rPr>
                <w:color w:val="000000"/>
              </w:rPr>
              <w:t>communautaire</w:t>
            </w:r>
            <w:proofErr w:type="spellEnd"/>
            <w:r>
              <w:rPr>
                <w:color w:val="000000"/>
              </w:rPr>
              <w:t xml:space="preserve"> sur le </w:t>
            </w:r>
            <w:proofErr w:type="spellStart"/>
            <w:r>
              <w:rPr>
                <w:color w:val="000000"/>
              </w:rPr>
              <w:t>traitement</w:t>
            </w:r>
            <w:proofErr w:type="spellEnd"/>
            <w:r w:rsidRPr="00FC2A4F">
              <w:t xml:space="preserve"> </w:t>
            </w:r>
            <w:proofErr w:type="spellStart"/>
            <w:r>
              <w:t>porté</w:t>
            </w:r>
            <w:proofErr w:type="spellEnd"/>
            <w:r>
              <w:t xml:space="preserve"> par</w:t>
            </w:r>
            <w:r w:rsidRPr="00FC2A4F">
              <w:t xml:space="preserve"> ITPC WA</w:t>
            </w:r>
          </w:p>
          <w:p w14:paraId="0CBFB5B9" w14:textId="5C15BF56" w:rsidR="007B41DA" w:rsidRPr="00FC2A4F" w:rsidRDefault="007B41DA" w:rsidP="00390EA4">
            <w:pPr>
              <w:pStyle w:val="liste1"/>
            </w:pPr>
            <w:r>
              <w:rPr>
                <w:color w:val="000000"/>
              </w:rPr>
              <w:t xml:space="preserve">Et </w:t>
            </w:r>
            <w:r w:rsidRPr="00FC2A4F">
              <w:t xml:space="preserve">le </w:t>
            </w:r>
            <w:proofErr w:type="spellStart"/>
            <w:r w:rsidRPr="00FC2A4F">
              <w:t>système</w:t>
            </w:r>
            <w:proofErr w:type="spellEnd"/>
            <w:r w:rsidRPr="00FC2A4F">
              <w:t xml:space="preserve"> </w:t>
            </w:r>
            <w:proofErr w:type="spellStart"/>
            <w:r w:rsidRPr="00FC2A4F">
              <w:t>d’alerte</w:t>
            </w:r>
            <w:proofErr w:type="spellEnd"/>
            <w:r w:rsidRPr="00FC2A4F">
              <w:t xml:space="preserve"> mise </w:t>
            </w:r>
            <w:proofErr w:type="spellStart"/>
            <w:r w:rsidRPr="00FC2A4F">
              <w:t>en</w:t>
            </w:r>
            <w:proofErr w:type="spellEnd"/>
            <w:r w:rsidRPr="00FC2A4F">
              <w:t xml:space="preserve"> </w:t>
            </w:r>
            <w:proofErr w:type="spellStart"/>
            <w:r w:rsidRPr="00FC2A4F">
              <w:t>œuvre</w:t>
            </w:r>
            <w:proofErr w:type="spellEnd"/>
            <w:r w:rsidRPr="00FC2A4F">
              <w:t xml:space="preserve"> </w:t>
            </w:r>
            <w:proofErr w:type="spellStart"/>
            <w:r w:rsidRPr="00FC2A4F">
              <w:t>par</w:t>
            </w:r>
            <w:proofErr w:type="spellEnd"/>
            <w:r w:rsidRPr="00FC2A4F">
              <w:t xml:space="preserve"> la </w:t>
            </w:r>
            <w:proofErr w:type="spellStart"/>
            <w:r w:rsidRPr="00FC2A4F">
              <w:t>Plateforme</w:t>
            </w:r>
            <w:proofErr w:type="spellEnd"/>
            <w:r w:rsidRPr="00FC2A4F">
              <w:t xml:space="preserve"> des </w:t>
            </w:r>
            <w:proofErr w:type="spellStart"/>
            <w:r w:rsidRPr="00FC2A4F">
              <w:t>réseaux</w:t>
            </w:r>
            <w:proofErr w:type="spellEnd"/>
            <w:r w:rsidRPr="00FC2A4F">
              <w:t xml:space="preserve"> et </w:t>
            </w:r>
            <w:proofErr w:type="spellStart"/>
            <w:r w:rsidRPr="00FC2A4F">
              <w:t>faîtières</w:t>
            </w:r>
            <w:proofErr w:type="spellEnd"/>
            <w:r w:rsidR="00032DCD">
              <w:t>.</w:t>
            </w:r>
          </w:p>
          <w:p w14:paraId="31AB400B" w14:textId="38D135CF" w:rsidR="007B41DA" w:rsidRPr="00750CA9" w:rsidRDefault="007B41DA" w:rsidP="00390EA4">
            <w:pPr>
              <w:pStyle w:val="Texteformulaire"/>
              <w:rPr>
                <w:lang w:val="fr-FR"/>
              </w:rPr>
            </w:pPr>
            <w:r w:rsidRPr="00750CA9">
              <w:rPr>
                <w:lang w:val="fr-FR"/>
              </w:rPr>
              <w:t>Les leçons apprises de ces dispositifs ont permis de mettre en exergue les constats suivants</w:t>
            </w:r>
            <w:r w:rsidR="007265A3" w:rsidRPr="00750CA9">
              <w:rPr>
                <w:lang w:val="fr-FR"/>
              </w:rPr>
              <w:t xml:space="preserve"> </w:t>
            </w:r>
            <w:r w:rsidRPr="00750CA9">
              <w:rPr>
                <w:lang w:val="fr-FR"/>
              </w:rPr>
              <w:t>: une faible couverture de</w:t>
            </w:r>
            <w:r w:rsidR="00994AF5" w:rsidRPr="00750CA9">
              <w:rPr>
                <w:lang w:val="fr-FR"/>
              </w:rPr>
              <w:t>s</w:t>
            </w:r>
            <w:r w:rsidRPr="00750CA9">
              <w:rPr>
                <w:lang w:val="fr-FR"/>
              </w:rPr>
              <w:t xml:space="preserve"> services liés à la prophylaxie </w:t>
            </w:r>
            <w:proofErr w:type="spellStart"/>
            <w:r w:rsidRPr="00750CA9">
              <w:rPr>
                <w:lang w:val="fr-FR"/>
              </w:rPr>
              <w:t>Pré-exposition</w:t>
            </w:r>
            <w:proofErr w:type="spellEnd"/>
            <w:r w:rsidRPr="00750CA9">
              <w:rPr>
                <w:lang w:val="fr-FR"/>
              </w:rPr>
              <w:t xml:space="preserve"> au niveau de la CI, (ii) une insuffisance de données relatives aux populations clés dans les registres des sites publics, (iii) des ruptures fréquentes d’intrants et de médicaments, (iv) le dysfonctionnent des équipements de laboratoires pour le test VIH et  la tuberculose, (v) les retards importants dans la délivrance des résultats des tests de charge virale, (vi) une faible compréhension de l’importance du test de charge virale aussi bien par certains </w:t>
            </w:r>
            <w:r w:rsidRPr="00750CA9">
              <w:rPr>
                <w:lang w:val="fr-FR"/>
              </w:rPr>
              <w:lastRenderedPageBreak/>
              <w:t xml:space="preserve">prestataires que par les patients eux-mêmes, (vii) la stigmatisation et la discrimination des populations clés </w:t>
            </w:r>
            <w:r w:rsidR="00994AF5" w:rsidRPr="00750CA9">
              <w:rPr>
                <w:lang w:val="fr-FR"/>
              </w:rPr>
              <w:t xml:space="preserve">et des PVVIH </w:t>
            </w:r>
            <w:r w:rsidRPr="00750CA9">
              <w:rPr>
                <w:lang w:val="fr-FR"/>
              </w:rPr>
              <w:t xml:space="preserve">dans les soins, (viii) recrudescence des effets secondaires du traitement. </w:t>
            </w:r>
          </w:p>
          <w:p w14:paraId="252AFD26" w14:textId="7C41C2B4" w:rsidR="00A16F51" w:rsidRPr="00750CA9" w:rsidRDefault="007B41DA" w:rsidP="00390EA4">
            <w:pPr>
              <w:pStyle w:val="Texteformulaire"/>
              <w:rPr>
                <w:lang w:val="fr-FR"/>
              </w:rPr>
            </w:pPr>
            <w:r w:rsidRPr="00750CA9">
              <w:rPr>
                <w:lang w:val="fr-FR"/>
              </w:rPr>
              <w:t xml:space="preserve">Ces différents constats ont conduit à la nécessité de renforcer la surveillance communautaire par la mise en place d’un Mécanisme de Surveillance Communautaire sur la Santé permettant l’intégration et les synergies entre les dispositifs existant dans le cadre de l’accès aux traitements, l’alerte et la protection des droits des personnes vulnérables. </w:t>
            </w:r>
            <w:r w:rsidR="00A16F51" w:rsidRPr="00750CA9">
              <w:rPr>
                <w:lang w:val="fr-FR"/>
              </w:rPr>
              <w:t xml:space="preserve">Mais aussi et surtout la mobilisation des communautés dans la lutte qui consiste à mobiliser les communautés, à les organiser de sorte à leurs rendre capable de mener des actions de sensibilisations pour lutter contre la stigmatisation et favoriser la rétention des PVVIH existants dans leurs communautés dans les soins. Enfin, la prise en compte du renforcement des capacités organisationnelles des ONG </w:t>
            </w:r>
          </w:p>
          <w:p w14:paraId="3FE9F57D" w14:textId="5C55B605" w:rsidR="007B41DA" w:rsidRPr="00750CA9" w:rsidRDefault="007B41DA" w:rsidP="00390EA4">
            <w:pPr>
              <w:pStyle w:val="Texteformulaire"/>
              <w:rPr>
                <w:lang w:val="fr-FR"/>
              </w:rPr>
            </w:pPr>
            <w:r w:rsidRPr="00750CA9">
              <w:rPr>
                <w:lang w:val="fr-FR"/>
              </w:rPr>
              <w:t xml:space="preserve">Ce </w:t>
            </w:r>
            <w:r w:rsidR="007265A3" w:rsidRPr="00750CA9">
              <w:rPr>
                <w:lang w:val="fr-FR"/>
              </w:rPr>
              <w:t>m</w:t>
            </w:r>
            <w:r w:rsidRPr="00750CA9">
              <w:rPr>
                <w:lang w:val="fr-FR"/>
              </w:rPr>
              <w:t xml:space="preserve">écanisme de surveillance communautaire va s’appuyer sur des délégués régionaux, les </w:t>
            </w:r>
            <w:proofErr w:type="spellStart"/>
            <w:r w:rsidRPr="00750CA9">
              <w:rPr>
                <w:lang w:val="fr-FR"/>
              </w:rPr>
              <w:t>para-juristes</w:t>
            </w:r>
            <w:proofErr w:type="spellEnd"/>
            <w:r w:rsidRPr="00750CA9">
              <w:rPr>
                <w:lang w:val="fr-FR"/>
              </w:rPr>
              <w:t xml:space="preserve"> et les collecteurs issus des différents dispositifs existants. Les délégués superviseront les </w:t>
            </w:r>
            <w:proofErr w:type="spellStart"/>
            <w:r w:rsidRPr="00750CA9">
              <w:rPr>
                <w:lang w:val="fr-FR"/>
              </w:rPr>
              <w:t>para-juristes</w:t>
            </w:r>
            <w:proofErr w:type="spellEnd"/>
            <w:r w:rsidRPr="00750CA9">
              <w:rPr>
                <w:lang w:val="fr-FR"/>
              </w:rPr>
              <w:t xml:space="preserve"> et auront à assurer la coordination, la veille et la surveillance communautaire en relevant les cas de ruptures de stocks de médicaments, d’intrants et la </w:t>
            </w:r>
            <w:r w:rsidR="00DF6816" w:rsidRPr="00750CA9">
              <w:rPr>
                <w:lang w:val="fr-FR"/>
              </w:rPr>
              <w:t>non-application</w:t>
            </w:r>
            <w:r w:rsidRPr="00750CA9">
              <w:rPr>
                <w:lang w:val="fr-FR"/>
              </w:rPr>
              <w:t xml:space="preserve"> des directives de gratuité concernant l’infection à VIH, la tuberculose et le paludisme. Quant aux </w:t>
            </w:r>
            <w:proofErr w:type="spellStart"/>
            <w:r w:rsidRPr="00750CA9">
              <w:rPr>
                <w:lang w:val="fr-FR"/>
              </w:rPr>
              <w:t>Para-juristes</w:t>
            </w:r>
            <w:proofErr w:type="spellEnd"/>
            <w:r w:rsidRPr="00750CA9">
              <w:rPr>
                <w:lang w:val="fr-FR"/>
              </w:rPr>
              <w:t>, eux seront chargés de faire l’identification, la notification et d’apporter un appui à la réponse des cas de violation des DH.</w:t>
            </w:r>
            <w:r w:rsidR="008D4A74" w:rsidRPr="00750CA9">
              <w:rPr>
                <w:lang w:val="fr-FR"/>
              </w:rPr>
              <w:t xml:space="preserve"> </w:t>
            </w:r>
            <w:r w:rsidRPr="00750CA9">
              <w:rPr>
                <w:lang w:val="fr-FR"/>
              </w:rPr>
              <w:t>Les collecteurs, mensuellement vont collecter les données quantitatives et qualitatives au sein des établissements sanitaires afin d’alimenter la base de données du mécanisme « CSO-HEALTH-TRACKER » ou elles seront analysées et vont générer des informations pouvant permettre aux partenaires de suivre ses objectifs selon la cascade de soins ainsi qu’à l’état de s’enquérir de la bonne santé de son système sanitaire.</w:t>
            </w:r>
          </w:p>
          <w:p w14:paraId="0D7B99B3" w14:textId="77777777" w:rsidR="007B41DA" w:rsidRDefault="007B41DA" w:rsidP="00080EE0">
            <w:pPr>
              <w:pStyle w:val="BodyLetter"/>
            </w:pPr>
          </w:p>
          <w:p w14:paraId="59C420F9" w14:textId="16C0BB31" w:rsidR="007B41DA" w:rsidRPr="00E45EB3" w:rsidRDefault="007B41DA" w:rsidP="006F6940">
            <w:pPr>
              <w:pStyle w:val="NormalJBGS"/>
              <w:numPr>
                <w:ilvl w:val="0"/>
                <w:numId w:val="43"/>
              </w:numPr>
              <w:jc w:val="both"/>
              <w:rPr>
                <w:b/>
                <w:i w:val="0"/>
                <w:color w:val="auto"/>
                <w:sz w:val="22"/>
                <w:szCs w:val="22"/>
                <w:lang w:val="fr-FR"/>
              </w:rPr>
            </w:pPr>
            <w:r w:rsidRPr="00E45EB3">
              <w:rPr>
                <w:b/>
                <w:i w:val="0"/>
                <w:color w:val="auto"/>
                <w:sz w:val="22"/>
                <w:szCs w:val="22"/>
                <w:lang w:val="fr-FR"/>
              </w:rPr>
              <w:t xml:space="preserve">Renforcement du suivi communautaire sur les engagements en matière de lutte contre le VIH et la TB, la qualité et l'offre de services ainsi que la promotion de l’hygiène des soins, la protection et la défense des droits à la santé des populations </w:t>
            </w:r>
            <w:r w:rsidR="006A110C">
              <w:rPr>
                <w:b/>
                <w:i w:val="0"/>
                <w:color w:val="auto"/>
                <w:sz w:val="22"/>
                <w:szCs w:val="22"/>
                <w:lang w:val="fr-FR"/>
              </w:rPr>
              <w:t>clés et</w:t>
            </w:r>
            <w:r w:rsidRPr="00E45EB3">
              <w:rPr>
                <w:b/>
                <w:i w:val="0"/>
                <w:color w:val="auto"/>
                <w:sz w:val="22"/>
                <w:szCs w:val="22"/>
                <w:lang w:val="fr-FR"/>
              </w:rPr>
              <w:t xml:space="preserve"> vulnérables.   </w:t>
            </w:r>
          </w:p>
          <w:p w14:paraId="7BCCA978" w14:textId="6A6F1D38" w:rsidR="0012401D" w:rsidRPr="0012401D" w:rsidRDefault="0012401D" w:rsidP="0012401D">
            <w:pPr>
              <w:pStyle w:val="NormalJBGS"/>
              <w:rPr>
                <w:i w:val="0"/>
                <w:color w:val="auto"/>
                <w:sz w:val="22"/>
                <w:szCs w:val="22"/>
                <w:lang w:val="fr-FR"/>
              </w:rPr>
            </w:pPr>
            <w:r w:rsidRPr="0012401D">
              <w:rPr>
                <w:i w:val="0"/>
                <w:color w:val="auto"/>
                <w:sz w:val="22"/>
                <w:szCs w:val="22"/>
                <w:lang w:val="fr-FR"/>
              </w:rPr>
              <w:t>Les principales activités de cette intervention sont :</w:t>
            </w:r>
          </w:p>
          <w:p w14:paraId="5431CC18" w14:textId="77777777" w:rsidR="007B41DA" w:rsidRPr="00750CA9" w:rsidRDefault="007B41DA" w:rsidP="00DF6816">
            <w:pPr>
              <w:pStyle w:val="liste1"/>
              <w:rPr>
                <w:lang w:val="fr-FR"/>
              </w:rPr>
            </w:pPr>
            <w:r w:rsidRPr="00750CA9">
              <w:rPr>
                <w:lang w:val="fr-FR"/>
              </w:rPr>
              <w:t>Réaliser une étude sur l’offre et la qualité des services délivrées aux PVVIH et populations clés en Côte d’Ivoire</w:t>
            </w:r>
          </w:p>
          <w:p w14:paraId="156F942E" w14:textId="06D21E8C" w:rsidR="007B41DA" w:rsidRPr="00750CA9" w:rsidRDefault="007B41DA" w:rsidP="00DF6816">
            <w:pPr>
              <w:pStyle w:val="liste1"/>
              <w:rPr>
                <w:lang w:val="fr-FR"/>
              </w:rPr>
            </w:pPr>
            <w:r w:rsidRPr="00750CA9">
              <w:rPr>
                <w:lang w:val="fr-FR"/>
              </w:rPr>
              <w:t>Organiser un atelier de 3 jours avec 30 participants issus des organisations de la société civile et des partenaires pour le renforcement de la synergie des dispositifs de suivi communautaire (observatoires, système d’alerte...) en matière de lutte contre le VIH et la TB au niveau national.</w:t>
            </w:r>
          </w:p>
          <w:p w14:paraId="74946BEB" w14:textId="08AB403A" w:rsidR="007B41DA" w:rsidRPr="00750CA9" w:rsidRDefault="007B41DA" w:rsidP="00DF6816">
            <w:pPr>
              <w:pStyle w:val="liste1"/>
              <w:rPr>
                <w:lang w:val="fr-FR"/>
              </w:rPr>
            </w:pPr>
            <w:r w:rsidRPr="00750CA9">
              <w:rPr>
                <w:lang w:val="fr-FR"/>
              </w:rPr>
              <w:t xml:space="preserve">Organiser un atelier de 5 jours avec 30 participants issus des organisations de la société civile et partenaires pour la révision des engagements par rapport à chaque pandémie et la révision des indicateurs et outils de collecte des observatoires et autres dispositifs de suivi communautaire sur le </w:t>
            </w:r>
            <w:proofErr w:type="spellStart"/>
            <w:r w:rsidRPr="00750CA9">
              <w:rPr>
                <w:lang w:val="fr-FR"/>
              </w:rPr>
              <w:t>vih</w:t>
            </w:r>
            <w:proofErr w:type="spellEnd"/>
            <w:r w:rsidRPr="00750CA9">
              <w:rPr>
                <w:lang w:val="fr-FR"/>
              </w:rPr>
              <w:t>/TB/Palu.</w:t>
            </w:r>
          </w:p>
          <w:p w14:paraId="7CFD13F3" w14:textId="207F9CD8" w:rsidR="007B41DA" w:rsidRPr="00750CA9" w:rsidRDefault="007B41DA" w:rsidP="00DF6816">
            <w:pPr>
              <w:pStyle w:val="liste1"/>
              <w:rPr>
                <w:lang w:val="fr-FR"/>
              </w:rPr>
            </w:pPr>
            <w:r w:rsidRPr="00750CA9">
              <w:rPr>
                <w:lang w:val="fr-FR"/>
              </w:rPr>
              <w:t>Organiser un atelier 3 jours avec de 50 participants pour la   validation des engagements, des indicateurs et outils de collecte des observatoires et autres dispositifs de suivi communautaire de la société civile sur la santé.</w:t>
            </w:r>
          </w:p>
          <w:p w14:paraId="13F33B9B" w14:textId="153AB18E" w:rsidR="007B41DA" w:rsidRPr="00750CA9" w:rsidRDefault="007B41DA" w:rsidP="00DF6816">
            <w:pPr>
              <w:pStyle w:val="liste1"/>
              <w:rPr>
                <w:lang w:val="fr-FR"/>
              </w:rPr>
            </w:pPr>
            <w:r w:rsidRPr="00750CA9">
              <w:rPr>
                <w:lang w:val="fr-FR"/>
              </w:rPr>
              <w:t>Former 250</w:t>
            </w:r>
            <w:r w:rsidRPr="00750CA9">
              <w:rPr>
                <w:b/>
                <w:lang w:val="fr-FR"/>
              </w:rPr>
              <w:t xml:space="preserve"> </w:t>
            </w:r>
            <w:r w:rsidRPr="00750CA9">
              <w:rPr>
                <w:lang w:val="fr-FR"/>
              </w:rPr>
              <w:t>observateurs de la société civile (agents collecteurs et parajuristes) pour la collecte des données quantitatives et qualitatives sur l’offre et de la qualité des services de santé, et le rapportage des atteintes et violations des droits des populations vulnérables au niveau communautaire et clinique.</w:t>
            </w:r>
          </w:p>
          <w:p w14:paraId="75425331" w14:textId="45EAA4D2" w:rsidR="007B41DA" w:rsidRPr="00750CA9" w:rsidRDefault="000B4A17" w:rsidP="00DF6816">
            <w:pPr>
              <w:pStyle w:val="liste1"/>
              <w:rPr>
                <w:lang w:val="fr-FR"/>
              </w:rPr>
            </w:pPr>
            <w:proofErr w:type="spellStart"/>
            <w:r w:rsidRPr="001B7DE0">
              <w:t>Organiser</w:t>
            </w:r>
            <w:proofErr w:type="spellEnd"/>
            <w:r w:rsidR="007B41DA" w:rsidRPr="00750CA9">
              <w:rPr>
                <w:lang w:val="fr-FR"/>
              </w:rPr>
              <w:t xml:space="preserve"> une rencontre d’1 jour de 100 personnes pour la présentation de l’outil de suivi des engagements (le CSO-CI HEALTH TRACKER)</w:t>
            </w:r>
          </w:p>
          <w:p w14:paraId="0C7E6D40" w14:textId="17CC08D6" w:rsidR="007B41DA" w:rsidRPr="00750CA9" w:rsidRDefault="007B41DA" w:rsidP="00DF6816">
            <w:pPr>
              <w:pStyle w:val="liste1"/>
              <w:rPr>
                <w:lang w:val="fr-FR"/>
              </w:rPr>
            </w:pPr>
            <w:r w:rsidRPr="00750CA9">
              <w:rPr>
                <w:lang w:val="fr-FR"/>
              </w:rPr>
              <w:t>Acquérir des équipements électroniques (250 tablettes/ smartphones, 6 ordinateurs, 2 serveurs) pour la collecte, le traitement et le stockage des données</w:t>
            </w:r>
          </w:p>
          <w:p w14:paraId="6931D9D5" w14:textId="77777777" w:rsidR="007B41DA" w:rsidRPr="00750CA9" w:rsidRDefault="007B41DA" w:rsidP="00DF6816">
            <w:pPr>
              <w:pStyle w:val="liste1"/>
              <w:rPr>
                <w:lang w:val="fr-FR"/>
              </w:rPr>
            </w:pPr>
            <w:r w:rsidRPr="00750CA9">
              <w:rPr>
                <w:lang w:val="fr-FR"/>
              </w:rPr>
              <w:t xml:space="preserve">Organiser 10 sessions de formation des agents pour la collecte des données quantitatives et qualitatives sur l’offre et de la qualité des services de santé, et le </w:t>
            </w:r>
            <w:r w:rsidRPr="00750CA9">
              <w:rPr>
                <w:lang w:val="fr-FR"/>
              </w:rPr>
              <w:lastRenderedPageBreak/>
              <w:t>rapportage des atteintes et violations des droits des PVVIH et populations clés au niveau communautaire et clinique.</w:t>
            </w:r>
          </w:p>
          <w:p w14:paraId="387EB950" w14:textId="77777777" w:rsidR="007B41DA" w:rsidRPr="00750CA9" w:rsidRDefault="007B41DA" w:rsidP="00DF6816">
            <w:pPr>
              <w:pStyle w:val="liste1"/>
              <w:rPr>
                <w:lang w:val="fr-FR"/>
              </w:rPr>
            </w:pPr>
            <w:r w:rsidRPr="00750CA9">
              <w:rPr>
                <w:lang w:val="fr-FR"/>
              </w:rPr>
              <w:t>Renseigner en routine, l’outil de suivi des engagements (politiques, financiers et programmatiques) pris par les acteurs nationaux en matière de lutte contre le VIH/sida</w:t>
            </w:r>
          </w:p>
          <w:p w14:paraId="70981258" w14:textId="097BBD55" w:rsidR="007B41DA" w:rsidRPr="00750CA9" w:rsidRDefault="007B41DA" w:rsidP="00DF6816">
            <w:pPr>
              <w:pStyle w:val="liste1"/>
              <w:rPr>
                <w:lang w:val="fr-FR"/>
              </w:rPr>
            </w:pPr>
            <w:r w:rsidRPr="00750CA9">
              <w:rPr>
                <w:lang w:val="fr-FR"/>
              </w:rPr>
              <w:t>Mettre en place un mécanisme de retro information de réception des plaintes / préoccupations sur l’offre et la qualité du VIH dans chaque district sanitaire</w:t>
            </w:r>
          </w:p>
          <w:p w14:paraId="1504A379" w14:textId="77777777" w:rsidR="007B41DA" w:rsidRPr="00750CA9" w:rsidRDefault="007B41DA" w:rsidP="00DF6816">
            <w:pPr>
              <w:pStyle w:val="liste1"/>
              <w:rPr>
                <w:lang w:val="fr-FR"/>
              </w:rPr>
            </w:pPr>
            <w:r w:rsidRPr="00750CA9">
              <w:rPr>
                <w:lang w:val="fr-FR"/>
              </w:rPr>
              <w:t xml:space="preserve">Conduire des missions </w:t>
            </w:r>
            <w:r w:rsidR="00F46D0D" w:rsidRPr="00750CA9">
              <w:rPr>
                <w:lang w:val="fr-FR"/>
              </w:rPr>
              <w:t xml:space="preserve">conjointes </w:t>
            </w:r>
            <w:r w:rsidRPr="00750CA9">
              <w:rPr>
                <w:lang w:val="fr-FR"/>
              </w:rPr>
              <w:t>trimestrielles de supervision et de validation des données</w:t>
            </w:r>
          </w:p>
          <w:p w14:paraId="6E0002D7" w14:textId="77777777" w:rsidR="007B41DA" w:rsidRPr="00750CA9" w:rsidRDefault="007B41DA" w:rsidP="00DF6816">
            <w:pPr>
              <w:pStyle w:val="liste1"/>
              <w:rPr>
                <w:lang w:val="fr-FR"/>
              </w:rPr>
            </w:pPr>
            <w:r w:rsidRPr="00750CA9">
              <w:rPr>
                <w:lang w:val="fr-FR"/>
              </w:rPr>
              <w:t>Organiser les rencontres trimestrielles de la Task-Force du mécanisme de surveillance communautaire sur la santé</w:t>
            </w:r>
          </w:p>
          <w:p w14:paraId="1179E08E" w14:textId="4F2AB94A" w:rsidR="007B41DA" w:rsidRPr="00750CA9" w:rsidRDefault="007B41DA" w:rsidP="00DF6816">
            <w:pPr>
              <w:pStyle w:val="liste1"/>
              <w:rPr>
                <w:lang w:val="fr-FR"/>
              </w:rPr>
            </w:pPr>
            <w:r w:rsidRPr="00750CA9">
              <w:rPr>
                <w:lang w:val="fr-FR"/>
              </w:rPr>
              <w:t>Mettre en place un dispositif de retro information de réception des plaintes / préoccupations sur l’offre et la qualité de services de santé dans chaque district sanitaire.</w:t>
            </w:r>
          </w:p>
          <w:p w14:paraId="64546EF4" w14:textId="351321C0" w:rsidR="009A14E4" w:rsidRPr="00750CA9" w:rsidRDefault="008D4A74" w:rsidP="00DF6816">
            <w:pPr>
              <w:pStyle w:val="liste1"/>
              <w:spacing w:after="0"/>
              <w:rPr>
                <w:lang w:val="fr-FR"/>
              </w:rPr>
            </w:pPr>
            <w:r w:rsidRPr="00750CA9">
              <w:rPr>
                <w:lang w:val="fr-FR"/>
              </w:rPr>
              <w:t>R</w:t>
            </w:r>
            <w:r w:rsidR="009A14E4" w:rsidRPr="00750CA9">
              <w:rPr>
                <w:lang w:val="fr-FR"/>
              </w:rPr>
              <w:t>enforcer les mécanismes communautaires qui contrôlent la disponibilité, et l’accessibilité</w:t>
            </w:r>
            <w:r w:rsidRPr="00750CA9">
              <w:rPr>
                <w:lang w:val="fr-FR"/>
              </w:rPr>
              <w:t xml:space="preserve"> </w:t>
            </w:r>
            <w:r w:rsidR="009A14E4" w:rsidRPr="00750CA9">
              <w:rPr>
                <w:lang w:val="fr-FR"/>
              </w:rPr>
              <w:t>aux médicaments et intrants</w:t>
            </w:r>
            <w:r w:rsidRPr="00750CA9">
              <w:rPr>
                <w:lang w:val="fr-FR"/>
              </w:rPr>
              <w:t>.</w:t>
            </w:r>
          </w:p>
          <w:p w14:paraId="24562428" w14:textId="77777777" w:rsidR="00E16645" w:rsidRPr="00750CA9" w:rsidRDefault="00E16645" w:rsidP="00390EA4">
            <w:pPr>
              <w:pStyle w:val="liste1"/>
              <w:numPr>
                <w:ilvl w:val="0"/>
                <w:numId w:val="0"/>
              </w:numPr>
              <w:spacing w:after="0"/>
              <w:ind w:left="360"/>
              <w:rPr>
                <w:lang w:val="fr-FR"/>
              </w:rPr>
            </w:pPr>
          </w:p>
          <w:p w14:paraId="0BA8512D" w14:textId="0058EC72" w:rsidR="007B41DA" w:rsidRDefault="007B41DA" w:rsidP="006F6940">
            <w:pPr>
              <w:pStyle w:val="NormalJBGS"/>
              <w:numPr>
                <w:ilvl w:val="0"/>
                <w:numId w:val="43"/>
              </w:numPr>
              <w:jc w:val="both"/>
              <w:rPr>
                <w:rFonts w:cs="Arial"/>
                <w:b/>
                <w:i w:val="0"/>
                <w:color w:val="auto"/>
                <w:sz w:val="22"/>
                <w:szCs w:val="22"/>
                <w:lang w:val="fr-FR"/>
              </w:rPr>
            </w:pPr>
            <w:r w:rsidRPr="0012401D">
              <w:rPr>
                <w:rFonts w:cs="Arial"/>
                <w:b/>
                <w:i w:val="0"/>
                <w:color w:val="auto"/>
                <w:sz w:val="22"/>
                <w:szCs w:val="22"/>
                <w:lang w:val="fr-FR"/>
              </w:rPr>
              <w:t>Mise en place d'un système d'information stratégique de la Société Civile sur le VIH et la TB au niveau national et régional</w:t>
            </w:r>
          </w:p>
          <w:p w14:paraId="5C9FFA79" w14:textId="6130EB54" w:rsidR="0012401D" w:rsidRPr="0012401D" w:rsidRDefault="0012401D" w:rsidP="0012401D">
            <w:pPr>
              <w:pStyle w:val="NormalJBGS"/>
              <w:rPr>
                <w:i w:val="0"/>
                <w:color w:val="auto"/>
                <w:sz w:val="22"/>
                <w:szCs w:val="22"/>
                <w:lang w:val="fr-FR"/>
              </w:rPr>
            </w:pPr>
            <w:r w:rsidRPr="0012401D">
              <w:rPr>
                <w:i w:val="0"/>
                <w:color w:val="auto"/>
                <w:sz w:val="22"/>
                <w:szCs w:val="22"/>
                <w:lang w:val="fr-FR"/>
              </w:rPr>
              <w:t>Les principales activités de cette intervention sont :</w:t>
            </w:r>
          </w:p>
          <w:p w14:paraId="533ED78E" w14:textId="69B3E577" w:rsidR="007B41DA" w:rsidRPr="0012401D" w:rsidRDefault="007B41DA" w:rsidP="00390EA4">
            <w:pPr>
              <w:pStyle w:val="liste1"/>
            </w:pPr>
            <w:proofErr w:type="spellStart"/>
            <w:r w:rsidRPr="0012401D">
              <w:t>Mettre</w:t>
            </w:r>
            <w:proofErr w:type="spellEnd"/>
            <w:r w:rsidRPr="0012401D">
              <w:t xml:space="preserve"> </w:t>
            </w:r>
            <w:proofErr w:type="spellStart"/>
            <w:r w:rsidRPr="0012401D">
              <w:t>en</w:t>
            </w:r>
            <w:proofErr w:type="spellEnd"/>
            <w:r w:rsidRPr="0012401D">
              <w:t xml:space="preserve"> place un cadre de </w:t>
            </w:r>
            <w:proofErr w:type="spellStart"/>
            <w:r w:rsidRPr="0012401D">
              <w:t>collecte</w:t>
            </w:r>
            <w:proofErr w:type="spellEnd"/>
            <w:r w:rsidRPr="0012401D">
              <w:t xml:space="preserve">, de </w:t>
            </w:r>
            <w:proofErr w:type="spellStart"/>
            <w:r w:rsidRPr="0012401D">
              <w:t>traitement</w:t>
            </w:r>
            <w:proofErr w:type="spellEnd"/>
            <w:r w:rsidRPr="0012401D">
              <w:t xml:space="preserve">, </w:t>
            </w:r>
            <w:proofErr w:type="spellStart"/>
            <w:r w:rsidRPr="0012401D">
              <w:t>d’analyse</w:t>
            </w:r>
            <w:proofErr w:type="spellEnd"/>
            <w:r w:rsidRPr="0012401D">
              <w:t xml:space="preserve"> et de production de </w:t>
            </w:r>
            <w:proofErr w:type="spellStart"/>
            <w:r w:rsidRPr="0012401D">
              <w:t>l’information</w:t>
            </w:r>
            <w:proofErr w:type="spellEnd"/>
            <w:r w:rsidRPr="0012401D">
              <w:t xml:space="preserve"> </w:t>
            </w:r>
            <w:proofErr w:type="spellStart"/>
            <w:r w:rsidRPr="0012401D">
              <w:t>stratégique</w:t>
            </w:r>
            <w:proofErr w:type="spellEnd"/>
            <w:r w:rsidRPr="0012401D">
              <w:t xml:space="preserve"> </w:t>
            </w:r>
            <w:proofErr w:type="spellStart"/>
            <w:r w:rsidRPr="0012401D">
              <w:t>communautaire</w:t>
            </w:r>
            <w:proofErr w:type="spellEnd"/>
            <w:r w:rsidRPr="0012401D">
              <w:t xml:space="preserve"> à </w:t>
            </w:r>
            <w:proofErr w:type="spellStart"/>
            <w:r w:rsidRPr="0012401D">
              <w:t>partir</w:t>
            </w:r>
            <w:proofErr w:type="spellEnd"/>
            <w:r w:rsidRPr="0012401D">
              <w:t xml:space="preserve"> des </w:t>
            </w:r>
            <w:proofErr w:type="spellStart"/>
            <w:r w:rsidRPr="0012401D">
              <w:t>données</w:t>
            </w:r>
            <w:proofErr w:type="spellEnd"/>
            <w:r w:rsidRPr="0012401D">
              <w:t xml:space="preserve"> issues des interventions des </w:t>
            </w:r>
            <w:proofErr w:type="spellStart"/>
            <w:r w:rsidRPr="0012401D">
              <w:t>organisations</w:t>
            </w:r>
            <w:proofErr w:type="spellEnd"/>
            <w:r w:rsidRPr="0012401D">
              <w:t xml:space="preserve"> de la </w:t>
            </w:r>
            <w:proofErr w:type="spellStart"/>
            <w:r w:rsidRPr="0012401D">
              <w:t>société</w:t>
            </w:r>
            <w:proofErr w:type="spellEnd"/>
            <w:r w:rsidRPr="0012401D">
              <w:t xml:space="preserve"> </w:t>
            </w:r>
            <w:proofErr w:type="spellStart"/>
            <w:r w:rsidRPr="0012401D">
              <w:t>civile</w:t>
            </w:r>
            <w:proofErr w:type="spellEnd"/>
            <w:r w:rsidRPr="0012401D">
              <w:t xml:space="preserve"> </w:t>
            </w:r>
            <w:proofErr w:type="spellStart"/>
            <w:r w:rsidRPr="0012401D">
              <w:t>intervenant</w:t>
            </w:r>
            <w:proofErr w:type="spellEnd"/>
            <w:r w:rsidRPr="0012401D">
              <w:t xml:space="preserve"> dans le </w:t>
            </w:r>
            <w:proofErr w:type="spellStart"/>
            <w:r w:rsidRPr="0012401D">
              <w:t>domaine</w:t>
            </w:r>
            <w:proofErr w:type="spellEnd"/>
            <w:r w:rsidRPr="0012401D">
              <w:t xml:space="preserve"> du VIH et de la TB </w:t>
            </w:r>
          </w:p>
          <w:p w14:paraId="2CE042DF" w14:textId="3576F32D" w:rsidR="007B41DA" w:rsidRPr="00D723C9" w:rsidRDefault="007B41DA" w:rsidP="00390EA4">
            <w:pPr>
              <w:pStyle w:val="liste1"/>
            </w:pPr>
            <w:proofErr w:type="spellStart"/>
            <w:r w:rsidRPr="00D723C9">
              <w:t>Organiser</w:t>
            </w:r>
            <w:proofErr w:type="spellEnd"/>
            <w:r w:rsidRPr="00D723C9">
              <w:t xml:space="preserve"> des séances de </w:t>
            </w:r>
            <w:proofErr w:type="spellStart"/>
            <w:r w:rsidRPr="00D723C9">
              <w:t>collecte</w:t>
            </w:r>
            <w:proofErr w:type="spellEnd"/>
            <w:r w:rsidRPr="00D723C9">
              <w:t xml:space="preserve"> de </w:t>
            </w:r>
            <w:proofErr w:type="spellStart"/>
            <w:r w:rsidRPr="00D723C9">
              <w:t>données</w:t>
            </w:r>
            <w:proofErr w:type="spellEnd"/>
            <w:r w:rsidRPr="00D723C9">
              <w:t xml:space="preserve"> </w:t>
            </w:r>
            <w:proofErr w:type="spellStart"/>
            <w:r w:rsidRPr="00D723C9">
              <w:t>auprès</w:t>
            </w:r>
            <w:proofErr w:type="spellEnd"/>
            <w:r w:rsidRPr="00D723C9">
              <w:t xml:space="preserve"> des </w:t>
            </w:r>
            <w:proofErr w:type="spellStart"/>
            <w:r w:rsidRPr="00D723C9">
              <w:t>organisations</w:t>
            </w:r>
            <w:proofErr w:type="spellEnd"/>
            <w:r w:rsidRPr="00D723C9">
              <w:t xml:space="preserve"> </w:t>
            </w:r>
            <w:proofErr w:type="spellStart"/>
            <w:r w:rsidRPr="00D723C9">
              <w:t>thématiques</w:t>
            </w:r>
            <w:proofErr w:type="spellEnd"/>
            <w:r w:rsidRPr="00D723C9">
              <w:t xml:space="preserve"> </w:t>
            </w:r>
            <w:proofErr w:type="spellStart"/>
            <w:r w:rsidRPr="00D723C9">
              <w:t>assurant</w:t>
            </w:r>
            <w:proofErr w:type="spellEnd"/>
            <w:r w:rsidRPr="00D723C9">
              <w:t xml:space="preserve"> le </w:t>
            </w:r>
            <w:proofErr w:type="spellStart"/>
            <w:r w:rsidRPr="00D723C9">
              <w:t>suivi</w:t>
            </w:r>
            <w:proofErr w:type="spellEnd"/>
            <w:r w:rsidRPr="00D723C9">
              <w:t xml:space="preserve"> </w:t>
            </w:r>
            <w:proofErr w:type="spellStart"/>
            <w:r w:rsidRPr="00D723C9">
              <w:t>communautaire</w:t>
            </w:r>
            <w:proofErr w:type="spellEnd"/>
          </w:p>
          <w:p w14:paraId="32722826" w14:textId="77777777" w:rsidR="007B41DA" w:rsidRPr="00D723C9" w:rsidRDefault="007B41DA" w:rsidP="00390EA4">
            <w:pPr>
              <w:pStyle w:val="liste1"/>
            </w:pPr>
            <w:r w:rsidRPr="00D723C9">
              <w:t xml:space="preserve">Assurer le </w:t>
            </w:r>
            <w:proofErr w:type="spellStart"/>
            <w:r w:rsidRPr="00D723C9">
              <w:t>traitement</w:t>
            </w:r>
            <w:proofErr w:type="spellEnd"/>
            <w:r w:rsidRPr="00D723C9">
              <w:t xml:space="preserve"> et </w:t>
            </w:r>
            <w:proofErr w:type="spellStart"/>
            <w:r w:rsidRPr="00D723C9">
              <w:t>l’analyse</w:t>
            </w:r>
            <w:proofErr w:type="spellEnd"/>
            <w:r w:rsidRPr="00D723C9">
              <w:t xml:space="preserve"> des </w:t>
            </w:r>
            <w:proofErr w:type="spellStart"/>
            <w:r w:rsidRPr="00D723C9">
              <w:t>données</w:t>
            </w:r>
            <w:proofErr w:type="spellEnd"/>
          </w:p>
          <w:p w14:paraId="607B0A0D" w14:textId="77777777" w:rsidR="007B41DA" w:rsidRPr="00D723C9" w:rsidRDefault="007B41DA" w:rsidP="00390EA4">
            <w:pPr>
              <w:pStyle w:val="liste1"/>
              <w:rPr>
                <w:color w:val="000000"/>
              </w:rPr>
            </w:pPr>
            <w:proofErr w:type="spellStart"/>
            <w:r w:rsidRPr="00D723C9">
              <w:rPr>
                <w:color w:val="000000"/>
              </w:rPr>
              <w:t>Elaborer</w:t>
            </w:r>
            <w:proofErr w:type="spellEnd"/>
            <w:r w:rsidRPr="00D723C9">
              <w:rPr>
                <w:color w:val="000000"/>
              </w:rPr>
              <w:t xml:space="preserve"> des fac-sheets </w:t>
            </w:r>
            <w:proofErr w:type="spellStart"/>
            <w:r w:rsidRPr="00D723C9">
              <w:rPr>
                <w:color w:val="000000"/>
              </w:rPr>
              <w:t>trimestriels</w:t>
            </w:r>
            <w:proofErr w:type="spellEnd"/>
            <w:r w:rsidRPr="00D723C9">
              <w:rPr>
                <w:color w:val="000000"/>
              </w:rPr>
              <w:t xml:space="preserve"> de partage des </w:t>
            </w:r>
            <w:proofErr w:type="spellStart"/>
            <w:r w:rsidRPr="00D723C9">
              <w:rPr>
                <w:color w:val="000000"/>
              </w:rPr>
              <w:t>résultats</w:t>
            </w:r>
            <w:proofErr w:type="spellEnd"/>
            <w:r w:rsidRPr="00D723C9">
              <w:rPr>
                <w:color w:val="000000"/>
              </w:rPr>
              <w:t xml:space="preserve"> du </w:t>
            </w:r>
            <w:proofErr w:type="spellStart"/>
            <w:r w:rsidRPr="00D723C9">
              <w:rPr>
                <w:color w:val="000000"/>
              </w:rPr>
              <w:t>mécanisme</w:t>
            </w:r>
            <w:proofErr w:type="spellEnd"/>
          </w:p>
          <w:p w14:paraId="6B3D832A" w14:textId="2F5BE33C" w:rsidR="007B41DA" w:rsidRDefault="007B41DA" w:rsidP="00E16645">
            <w:pPr>
              <w:pStyle w:val="liste1"/>
              <w:rPr>
                <w:color w:val="000000"/>
              </w:rPr>
            </w:pPr>
            <w:proofErr w:type="spellStart"/>
            <w:r w:rsidRPr="00D723C9">
              <w:rPr>
                <w:color w:val="000000"/>
              </w:rPr>
              <w:t>Organiser</w:t>
            </w:r>
            <w:proofErr w:type="spellEnd"/>
            <w:r w:rsidRPr="00D723C9">
              <w:rPr>
                <w:color w:val="000000"/>
              </w:rPr>
              <w:t xml:space="preserve"> </w:t>
            </w:r>
            <w:proofErr w:type="spellStart"/>
            <w:r w:rsidRPr="00D723C9">
              <w:rPr>
                <w:color w:val="000000"/>
              </w:rPr>
              <w:t>une</w:t>
            </w:r>
            <w:proofErr w:type="spellEnd"/>
            <w:r w:rsidRPr="00D723C9">
              <w:rPr>
                <w:color w:val="000000"/>
              </w:rPr>
              <w:t xml:space="preserve"> </w:t>
            </w:r>
            <w:proofErr w:type="spellStart"/>
            <w:r w:rsidRPr="00D723C9">
              <w:rPr>
                <w:color w:val="000000"/>
              </w:rPr>
              <w:t>journée</w:t>
            </w:r>
            <w:proofErr w:type="spellEnd"/>
            <w:r w:rsidRPr="00D723C9">
              <w:rPr>
                <w:color w:val="000000"/>
              </w:rPr>
              <w:t xml:space="preserve"> </w:t>
            </w:r>
            <w:proofErr w:type="spellStart"/>
            <w:r w:rsidRPr="00D723C9">
              <w:rPr>
                <w:color w:val="000000"/>
              </w:rPr>
              <w:t>scientifique</w:t>
            </w:r>
            <w:proofErr w:type="spellEnd"/>
            <w:r w:rsidRPr="00D723C9">
              <w:rPr>
                <w:color w:val="000000"/>
              </w:rPr>
              <w:t xml:space="preserve"> des </w:t>
            </w:r>
            <w:proofErr w:type="spellStart"/>
            <w:r w:rsidRPr="00D723C9">
              <w:rPr>
                <w:color w:val="000000"/>
              </w:rPr>
              <w:t>organisations</w:t>
            </w:r>
            <w:proofErr w:type="spellEnd"/>
            <w:r w:rsidRPr="00D723C9">
              <w:rPr>
                <w:color w:val="000000"/>
              </w:rPr>
              <w:t xml:space="preserve"> de la </w:t>
            </w:r>
            <w:proofErr w:type="spellStart"/>
            <w:r w:rsidRPr="00D723C9">
              <w:rPr>
                <w:color w:val="000000"/>
              </w:rPr>
              <w:t>société</w:t>
            </w:r>
            <w:proofErr w:type="spellEnd"/>
            <w:r w:rsidRPr="00D723C9">
              <w:rPr>
                <w:color w:val="000000"/>
              </w:rPr>
              <w:t xml:space="preserve"> </w:t>
            </w:r>
            <w:proofErr w:type="spellStart"/>
            <w:r w:rsidRPr="00D723C9">
              <w:rPr>
                <w:color w:val="000000"/>
              </w:rPr>
              <w:t>civile</w:t>
            </w:r>
            <w:proofErr w:type="spellEnd"/>
            <w:r w:rsidRPr="00D723C9">
              <w:rPr>
                <w:color w:val="000000"/>
              </w:rPr>
              <w:t xml:space="preserve"> du </w:t>
            </w:r>
            <w:proofErr w:type="spellStart"/>
            <w:r w:rsidRPr="00D723C9">
              <w:rPr>
                <w:color w:val="000000"/>
              </w:rPr>
              <w:t>domaine</w:t>
            </w:r>
            <w:proofErr w:type="spellEnd"/>
            <w:r w:rsidRPr="00D723C9">
              <w:rPr>
                <w:color w:val="000000"/>
              </w:rPr>
              <w:t xml:space="preserve"> de santé </w:t>
            </w:r>
            <w:proofErr w:type="spellStart"/>
            <w:r w:rsidRPr="00D723C9">
              <w:rPr>
                <w:color w:val="000000"/>
              </w:rPr>
              <w:t>en</w:t>
            </w:r>
            <w:proofErr w:type="spellEnd"/>
            <w:r w:rsidRPr="00D723C9">
              <w:rPr>
                <w:color w:val="000000"/>
              </w:rPr>
              <w:t xml:space="preserve"> Côte d'Ivoire</w:t>
            </w:r>
          </w:p>
          <w:p w14:paraId="71BD04FF" w14:textId="77777777" w:rsidR="00032DCD" w:rsidRPr="00D723C9" w:rsidRDefault="00032DCD" w:rsidP="00080EE0">
            <w:pPr>
              <w:pStyle w:val="BodyLetter"/>
            </w:pPr>
          </w:p>
          <w:p w14:paraId="31DDD86C" w14:textId="3D631579" w:rsidR="007B41DA" w:rsidRDefault="007B41DA" w:rsidP="006F6940">
            <w:pPr>
              <w:pStyle w:val="NormalJBGS"/>
              <w:numPr>
                <w:ilvl w:val="0"/>
                <w:numId w:val="43"/>
              </w:numPr>
              <w:jc w:val="both"/>
              <w:rPr>
                <w:rFonts w:cs="Arial"/>
                <w:b/>
                <w:i w:val="0"/>
                <w:color w:val="auto"/>
                <w:sz w:val="22"/>
                <w:szCs w:val="22"/>
              </w:rPr>
            </w:pPr>
            <w:r w:rsidRPr="00AA630D">
              <w:rPr>
                <w:rFonts w:cs="Arial"/>
                <w:b/>
                <w:i w:val="0"/>
                <w:color w:val="auto"/>
                <w:sz w:val="22"/>
                <w:szCs w:val="22"/>
              </w:rPr>
              <w:t>Coordination et Plaidoyer</w:t>
            </w:r>
          </w:p>
          <w:p w14:paraId="1D3B8A4B" w14:textId="5EA91A0D" w:rsidR="00AA630D" w:rsidRPr="00AA630D" w:rsidRDefault="00AA630D" w:rsidP="00AA630D">
            <w:pPr>
              <w:pStyle w:val="NormalJBGS"/>
              <w:rPr>
                <w:i w:val="0"/>
                <w:color w:val="auto"/>
                <w:sz w:val="22"/>
                <w:szCs w:val="22"/>
                <w:lang w:val="fr-FR"/>
              </w:rPr>
            </w:pPr>
            <w:r w:rsidRPr="0012401D">
              <w:rPr>
                <w:i w:val="0"/>
                <w:color w:val="auto"/>
                <w:sz w:val="22"/>
                <w:szCs w:val="22"/>
                <w:lang w:val="fr-FR"/>
              </w:rPr>
              <w:t>Les principales activités de cette intervention sont :</w:t>
            </w:r>
          </w:p>
          <w:p w14:paraId="26C46BF2" w14:textId="251222AF" w:rsidR="007B41DA" w:rsidRPr="00390EA4" w:rsidRDefault="007B41DA" w:rsidP="00390EA4">
            <w:pPr>
              <w:pStyle w:val="liste1"/>
            </w:pPr>
            <w:proofErr w:type="spellStart"/>
            <w:r w:rsidRPr="00390EA4">
              <w:t>Organiser</w:t>
            </w:r>
            <w:proofErr w:type="spellEnd"/>
            <w:r w:rsidRPr="00390EA4">
              <w:t xml:space="preserve"> </w:t>
            </w:r>
            <w:r w:rsidR="00032DCD">
              <w:t xml:space="preserve">des </w:t>
            </w:r>
            <w:r w:rsidRPr="00390EA4">
              <w:t xml:space="preserve">missions </w:t>
            </w:r>
            <w:proofErr w:type="spellStart"/>
            <w:r w:rsidRPr="00390EA4">
              <w:t>conjointes</w:t>
            </w:r>
            <w:proofErr w:type="spellEnd"/>
            <w:r w:rsidRPr="00390EA4">
              <w:t xml:space="preserve"> de supervisions </w:t>
            </w:r>
            <w:proofErr w:type="spellStart"/>
            <w:r w:rsidRPr="00390EA4">
              <w:t>trimestrielles</w:t>
            </w:r>
            <w:proofErr w:type="spellEnd"/>
            <w:r w:rsidRPr="00390EA4">
              <w:t xml:space="preserve"> de coaching des </w:t>
            </w:r>
            <w:proofErr w:type="spellStart"/>
            <w:r w:rsidRPr="00390EA4">
              <w:t>acteurs</w:t>
            </w:r>
            <w:proofErr w:type="spellEnd"/>
            <w:r w:rsidRPr="00390EA4">
              <w:t xml:space="preserve"> des OSC</w:t>
            </w:r>
            <w:r w:rsidR="00032DCD">
              <w:t xml:space="preserve"> </w:t>
            </w:r>
            <w:proofErr w:type="spellStart"/>
            <w:r w:rsidR="00032DCD">
              <w:t>a</w:t>
            </w:r>
            <w:r w:rsidRPr="00390EA4">
              <w:t>ssurant</w:t>
            </w:r>
            <w:proofErr w:type="spellEnd"/>
            <w:r w:rsidRPr="00390EA4">
              <w:t xml:space="preserve"> le </w:t>
            </w:r>
            <w:proofErr w:type="spellStart"/>
            <w:r w:rsidRPr="00390EA4">
              <w:t>suivi</w:t>
            </w:r>
            <w:proofErr w:type="spellEnd"/>
            <w:r w:rsidRPr="00390EA4">
              <w:t xml:space="preserve"> </w:t>
            </w:r>
            <w:proofErr w:type="spellStart"/>
            <w:r w:rsidRPr="00390EA4">
              <w:t>communautaire</w:t>
            </w:r>
            <w:proofErr w:type="spellEnd"/>
          </w:p>
          <w:p w14:paraId="586DEC0B" w14:textId="16D57158" w:rsidR="007B41DA" w:rsidRPr="00390EA4" w:rsidRDefault="007B41DA" w:rsidP="00390EA4">
            <w:pPr>
              <w:pStyle w:val="liste1"/>
            </w:pPr>
            <w:proofErr w:type="spellStart"/>
            <w:r w:rsidRPr="00390EA4">
              <w:t>Organiser</w:t>
            </w:r>
            <w:proofErr w:type="spellEnd"/>
            <w:r w:rsidRPr="00390EA4">
              <w:t xml:space="preserve"> </w:t>
            </w:r>
            <w:r w:rsidR="00032DCD">
              <w:t>des</w:t>
            </w:r>
            <w:r w:rsidRPr="00390EA4">
              <w:t xml:space="preserve"> rencontre</w:t>
            </w:r>
            <w:r w:rsidR="00032DCD">
              <w:t>s</w:t>
            </w:r>
            <w:r w:rsidRPr="00390EA4">
              <w:t xml:space="preserve"> </w:t>
            </w:r>
            <w:proofErr w:type="spellStart"/>
            <w:r w:rsidRPr="00390EA4">
              <w:t>trimestrielle</w:t>
            </w:r>
            <w:r w:rsidR="00032DCD">
              <w:t>s</w:t>
            </w:r>
            <w:proofErr w:type="spellEnd"/>
            <w:r w:rsidRPr="00390EA4">
              <w:t xml:space="preserve"> de la Task</w:t>
            </w:r>
            <w:r w:rsidR="00032DCD">
              <w:t>-</w:t>
            </w:r>
            <w:r w:rsidRPr="00390EA4">
              <w:t xml:space="preserve">force du </w:t>
            </w:r>
            <w:proofErr w:type="spellStart"/>
            <w:r w:rsidRPr="00390EA4">
              <w:t>mécanisme</w:t>
            </w:r>
            <w:proofErr w:type="spellEnd"/>
            <w:r w:rsidRPr="00390EA4">
              <w:t xml:space="preserve"> de surveillance </w:t>
            </w:r>
            <w:proofErr w:type="spellStart"/>
            <w:r w:rsidRPr="00390EA4">
              <w:t>communautaire</w:t>
            </w:r>
            <w:proofErr w:type="spellEnd"/>
          </w:p>
          <w:p w14:paraId="5B806647" w14:textId="1E425FAE" w:rsidR="007B41DA" w:rsidRPr="00390EA4" w:rsidRDefault="007B41DA" w:rsidP="00390EA4">
            <w:pPr>
              <w:pStyle w:val="liste1"/>
            </w:pPr>
            <w:proofErr w:type="spellStart"/>
            <w:r w:rsidRPr="00390EA4">
              <w:t>Organiser</w:t>
            </w:r>
            <w:proofErr w:type="spellEnd"/>
            <w:r w:rsidRPr="00390EA4">
              <w:t xml:space="preserve"> 1 rencontre </w:t>
            </w:r>
            <w:proofErr w:type="spellStart"/>
            <w:r w:rsidRPr="00390EA4">
              <w:t>régionale</w:t>
            </w:r>
            <w:proofErr w:type="spellEnd"/>
            <w:r w:rsidRPr="00390EA4">
              <w:t xml:space="preserve"> par </w:t>
            </w:r>
            <w:proofErr w:type="spellStart"/>
            <w:r w:rsidRPr="00390EA4">
              <w:t>semestre</w:t>
            </w:r>
            <w:proofErr w:type="spellEnd"/>
            <w:r w:rsidRPr="00390EA4">
              <w:t xml:space="preserve"> des </w:t>
            </w:r>
            <w:proofErr w:type="spellStart"/>
            <w:r w:rsidRPr="00390EA4">
              <w:t>dispositifs</w:t>
            </w:r>
            <w:proofErr w:type="spellEnd"/>
            <w:r w:rsidRPr="00390EA4">
              <w:t xml:space="preserve"> du </w:t>
            </w:r>
            <w:proofErr w:type="spellStart"/>
            <w:r w:rsidRPr="00390EA4">
              <w:t>mécanisme</w:t>
            </w:r>
            <w:proofErr w:type="spellEnd"/>
            <w:r w:rsidRPr="00390EA4">
              <w:t xml:space="preserve"> dans </w:t>
            </w:r>
            <w:proofErr w:type="spellStart"/>
            <w:r w:rsidRPr="00390EA4">
              <w:t>chaque</w:t>
            </w:r>
            <w:proofErr w:type="spellEnd"/>
            <w:r w:rsidRPr="00390EA4">
              <w:t xml:space="preserve"> </w:t>
            </w:r>
            <w:proofErr w:type="spellStart"/>
            <w:r w:rsidRPr="00390EA4">
              <w:t>région</w:t>
            </w:r>
            <w:proofErr w:type="spellEnd"/>
            <w:r w:rsidRPr="00390EA4">
              <w:t xml:space="preserve"> sanitaire</w:t>
            </w:r>
          </w:p>
          <w:p w14:paraId="67E091D9" w14:textId="77777777" w:rsidR="009241C6" w:rsidRPr="00390EA4" w:rsidRDefault="009241C6" w:rsidP="00390EA4">
            <w:pPr>
              <w:pStyle w:val="liste1"/>
            </w:pPr>
            <w:proofErr w:type="spellStart"/>
            <w:r w:rsidRPr="00390EA4">
              <w:t>Elaborer</w:t>
            </w:r>
            <w:proofErr w:type="spellEnd"/>
            <w:r w:rsidRPr="00390EA4">
              <w:t xml:space="preserve"> </w:t>
            </w:r>
            <w:proofErr w:type="spellStart"/>
            <w:r w:rsidRPr="00390EA4">
              <w:t>une</w:t>
            </w:r>
            <w:proofErr w:type="spellEnd"/>
            <w:r w:rsidRPr="00390EA4">
              <w:t xml:space="preserve"> </w:t>
            </w:r>
            <w:proofErr w:type="spellStart"/>
            <w:r w:rsidRPr="00390EA4">
              <w:t>charte</w:t>
            </w:r>
            <w:proofErr w:type="spellEnd"/>
            <w:r w:rsidRPr="00390EA4">
              <w:t xml:space="preserve"> des </w:t>
            </w:r>
            <w:proofErr w:type="spellStart"/>
            <w:r w:rsidRPr="00390EA4">
              <w:t>priorités</w:t>
            </w:r>
            <w:proofErr w:type="spellEnd"/>
            <w:r w:rsidRPr="00390EA4">
              <w:t xml:space="preserve"> de la </w:t>
            </w:r>
            <w:proofErr w:type="spellStart"/>
            <w:r w:rsidRPr="00390EA4">
              <w:t>société</w:t>
            </w:r>
            <w:proofErr w:type="spellEnd"/>
            <w:r w:rsidRPr="00390EA4">
              <w:t xml:space="preserve"> </w:t>
            </w:r>
            <w:proofErr w:type="spellStart"/>
            <w:r w:rsidRPr="00390EA4">
              <w:t>civile</w:t>
            </w:r>
            <w:proofErr w:type="spellEnd"/>
            <w:r w:rsidRPr="00390EA4">
              <w:t xml:space="preserve">  </w:t>
            </w:r>
          </w:p>
          <w:p w14:paraId="6A24A947" w14:textId="77777777" w:rsidR="00032DCD" w:rsidRDefault="009241C6" w:rsidP="00E16645">
            <w:pPr>
              <w:pStyle w:val="liste1"/>
            </w:pPr>
            <w:proofErr w:type="spellStart"/>
            <w:r w:rsidRPr="00390EA4">
              <w:t>Etablir</w:t>
            </w:r>
            <w:proofErr w:type="spellEnd"/>
            <w:r w:rsidRPr="00390EA4">
              <w:t xml:space="preserve"> </w:t>
            </w:r>
            <w:proofErr w:type="spellStart"/>
            <w:r w:rsidRPr="00390EA4">
              <w:t>une</w:t>
            </w:r>
            <w:proofErr w:type="spellEnd"/>
            <w:r w:rsidRPr="00390EA4">
              <w:t xml:space="preserve"> </w:t>
            </w:r>
            <w:proofErr w:type="spellStart"/>
            <w:r w:rsidRPr="00390EA4">
              <w:t>cartographie</w:t>
            </w:r>
            <w:proofErr w:type="spellEnd"/>
            <w:r w:rsidRPr="00390EA4">
              <w:t xml:space="preserve"> de </w:t>
            </w:r>
            <w:proofErr w:type="spellStart"/>
            <w:r w:rsidRPr="00390EA4">
              <w:t>toutes</w:t>
            </w:r>
            <w:proofErr w:type="spellEnd"/>
            <w:r w:rsidRPr="00390EA4">
              <w:t xml:space="preserve"> les </w:t>
            </w:r>
            <w:proofErr w:type="spellStart"/>
            <w:r w:rsidRPr="00390EA4">
              <w:t>organisations</w:t>
            </w:r>
            <w:proofErr w:type="spellEnd"/>
            <w:r w:rsidRPr="00390EA4">
              <w:t xml:space="preserve"> et </w:t>
            </w:r>
            <w:proofErr w:type="spellStart"/>
            <w:r w:rsidRPr="00390EA4">
              <w:t>réseaux</w:t>
            </w:r>
            <w:proofErr w:type="spellEnd"/>
            <w:r w:rsidRPr="00390EA4">
              <w:t xml:space="preserve"> </w:t>
            </w:r>
            <w:proofErr w:type="spellStart"/>
            <w:r w:rsidRPr="00390EA4">
              <w:t>communautaires</w:t>
            </w:r>
            <w:proofErr w:type="spellEnd"/>
            <w:r w:rsidRPr="00390EA4">
              <w:t xml:space="preserve"> </w:t>
            </w:r>
            <w:proofErr w:type="spellStart"/>
            <w:r w:rsidRPr="00390EA4">
              <w:t>ainsi</w:t>
            </w:r>
            <w:proofErr w:type="spellEnd"/>
            <w:r w:rsidRPr="00390EA4">
              <w:t xml:space="preserve"> que de </w:t>
            </w:r>
            <w:proofErr w:type="spellStart"/>
            <w:r w:rsidRPr="00390EA4">
              <w:t>l’ensemble</w:t>
            </w:r>
            <w:proofErr w:type="spellEnd"/>
            <w:r w:rsidRPr="00390EA4">
              <w:t xml:space="preserve"> de </w:t>
            </w:r>
            <w:proofErr w:type="spellStart"/>
            <w:r w:rsidRPr="00390EA4">
              <w:t>leurs</w:t>
            </w:r>
            <w:proofErr w:type="spellEnd"/>
            <w:r w:rsidRPr="00390EA4">
              <w:t xml:space="preserve"> services</w:t>
            </w:r>
          </w:p>
          <w:p w14:paraId="2D482CCA" w14:textId="0CCF747C" w:rsidR="009241C6" w:rsidRPr="00390EA4" w:rsidRDefault="009241C6" w:rsidP="00080EE0">
            <w:pPr>
              <w:pStyle w:val="BodyLetter"/>
            </w:pPr>
            <w:r w:rsidRPr="00390EA4">
              <w:t xml:space="preserve"> </w:t>
            </w:r>
          </w:p>
          <w:p w14:paraId="44EB1DFF" w14:textId="6497552D" w:rsidR="009241C6" w:rsidRPr="00750CA9" w:rsidRDefault="00032DCD" w:rsidP="006F6940">
            <w:pPr>
              <w:pStyle w:val="NormalJBGS"/>
              <w:numPr>
                <w:ilvl w:val="0"/>
                <w:numId w:val="43"/>
              </w:numPr>
              <w:jc w:val="both"/>
              <w:rPr>
                <w:b/>
                <w:i w:val="0"/>
                <w:color w:val="auto"/>
                <w:sz w:val="22"/>
                <w:lang w:val="fr-FR"/>
              </w:rPr>
            </w:pPr>
            <w:r w:rsidRPr="00750CA9">
              <w:rPr>
                <w:b/>
                <w:i w:val="0"/>
                <w:color w:val="auto"/>
                <w:sz w:val="22"/>
                <w:lang w:val="fr-FR"/>
              </w:rPr>
              <w:t>Renforcement de la capacité institutionnelle, planification de développement du leadership</w:t>
            </w:r>
          </w:p>
          <w:p w14:paraId="69AACFD3" w14:textId="32C13CE8" w:rsidR="00032DCD" w:rsidRPr="00750CA9" w:rsidRDefault="00032DCD" w:rsidP="00390EA4">
            <w:pPr>
              <w:pStyle w:val="Texteformulaire"/>
              <w:rPr>
                <w:lang w:val="fr-FR"/>
              </w:rPr>
            </w:pPr>
            <w:r w:rsidRPr="00750CA9">
              <w:rPr>
                <w:lang w:val="fr-FR"/>
              </w:rPr>
              <w:t xml:space="preserve">Le PSN 2021-2025 entend consacrer d’importants efforts pour mobiliser plus largement les OSC/OBC dans la riposte contre l’infection à VIH. Afin de permettre aux organisations </w:t>
            </w:r>
            <w:r w:rsidRPr="00750CA9">
              <w:rPr>
                <w:lang w:val="fr-FR"/>
              </w:rPr>
              <w:lastRenderedPageBreak/>
              <w:t xml:space="preserve">identitaires émergentes de construire leur professionnalisation dans un environnement moins précaire et de garantir des prestations de qualité à travers des contrats de performances. </w:t>
            </w:r>
            <w:r w:rsidR="007265A3" w:rsidRPr="00750CA9">
              <w:rPr>
                <w:lang w:val="fr-FR"/>
              </w:rPr>
              <w:t>D</w:t>
            </w:r>
            <w:r w:rsidRPr="00750CA9">
              <w:rPr>
                <w:lang w:val="fr-FR"/>
              </w:rPr>
              <w:t xml:space="preserve">ans la mise en œuvre de sa stratégie de renforcement des capacités, </w:t>
            </w:r>
            <w:r w:rsidR="007265A3" w:rsidRPr="00750CA9">
              <w:rPr>
                <w:lang w:val="fr-FR"/>
              </w:rPr>
              <w:t xml:space="preserve">Alliance Côte d’Ivoire </w:t>
            </w:r>
            <w:r w:rsidRPr="00750CA9">
              <w:rPr>
                <w:lang w:val="fr-FR"/>
              </w:rPr>
              <w:t>se propose d’accompagner les organisations identitaires à relever les défis liés à :</w:t>
            </w:r>
          </w:p>
          <w:p w14:paraId="58F3BAA0" w14:textId="55C1DC76" w:rsidR="00032DCD" w:rsidRPr="00A25A60" w:rsidRDefault="00032DCD" w:rsidP="00390EA4">
            <w:pPr>
              <w:pStyle w:val="liste1"/>
            </w:pPr>
            <w:r>
              <w:t xml:space="preserve">La </w:t>
            </w:r>
            <w:proofErr w:type="spellStart"/>
            <w:r>
              <w:t>faible</w:t>
            </w:r>
            <w:proofErr w:type="spellEnd"/>
            <w:r>
              <w:t xml:space="preserve"> </w:t>
            </w:r>
            <w:proofErr w:type="spellStart"/>
            <w:r>
              <w:t>connaissance</w:t>
            </w:r>
            <w:proofErr w:type="spellEnd"/>
            <w:r>
              <w:t xml:space="preserve"> des</w:t>
            </w:r>
            <w:r w:rsidRPr="00A25A60">
              <w:t xml:space="preserve"> notions de</w:t>
            </w:r>
            <w:r w:rsidRPr="00DA254F">
              <w:t xml:space="preserve"> gestion financière à base </w:t>
            </w:r>
            <w:proofErr w:type="spellStart"/>
            <w:r w:rsidRPr="00DA254F">
              <w:t>communautaire</w:t>
            </w:r>
            <w:proofErr w:type="spellEnd"/>
            <w:r w:rsidRPr="00DA254F">
              <w:t xml:space="preserve"> et la </w:t>
            </w:r>
            <w:proofErr w:type="spellStart"/>
            <w:r w:rsidRPr="00A25A60">
              <w:t>responsabilité</w:t>
            </w:r>
            <w:proofErr w:type="spellEnd"/>
            <w:r w:rsidRPr="00DA254F">
              <w:t xml:space="preserve"> collective</w:t>
            </w:r>
          </w:p>
          <w:p w14:paraId="194B7853" w14:textId="77777777" w:rsidR="00032DCD" w:rsidRPr="00DA254F" w:rsidRDefault="00032DCD" w:rsidP="00390EA4">
            <w:pPr>
              <w:pStyle w:val="liste1"/>
            </w:pPr>
            <w:r>
              <w:t>La non-identification d</w:t>
            </w:r>
            <w:r w:rsidRPr="00A25A60">
              <w:t xml:space="preserve">es </w:t>
            </w:r>
            <w:proofErr w:type="spellStart"/>
            <w:r w:rsidRPr="00A25A60">
              <w:t>problèmes</w:t>
            </w:r>
            <w:proofErr w:type="spellEnd"/>
            <w:r w:rsidRPr="00DA254F">
              <w:t xml:space="preserve"> </w:t>
            </w:r>
            <w:proofErr w:type="spellStart"/>
            <w:r w:rsidRPr="00DA254F">
              <w:t>liés</w:t>
            </w:r>
            <w:proofErr w:type="spellEnd"/>
            <w:r w:rsidRPr="00DA254F">
              <w:t xml:space="preserve"> à </w:t>
            </w:r>
            <w:proofErr w:type="spellStart"/>
            <w:r w:rsidRPr="00DA254F">
              <w:t>leur</w:t>
            </w:r>
            <w:proofErr w:type="spellEnd"/>
            <w:r w:rsidRPr="00DA254F">
              <w:t xml:space="preserve"> </w:t>
            </w:r>
            <w:proofErr w:type="spellStart"/>
            <w:r w:rsidRPr="00DA254F">
              <w:t>autonomisation</w:t>
            </w:r>
            <w:proofErr w:type="spellEnd"/>
            <w:r w:rsidRPr="00DA254F">
              <w:t xml:space="preserve"> et à la </w:t>
            </w:r>
            <w:proofErr w:type="spellStart"/>
            <w:r w:rsidRPr="00DA254F">
              <w:t>pérennisation</w:t>
            </w:r>
            <w:proofErr w:type="spellEnd"/>
            <w:r w:rsidRPr="00DA254F">
              <w:t xml:space="preserve"> de </w:t>
            </w:r>
            <w:proofErr w:type="spellStart"/>
            <w:r w:rsidRPr="00DA254F">
              <w:t>leurs</w:t>
            </w:r>
            <w:proofErr w:type="spellEnd"/>
            <w:r w:rsidRPr="00DA254F">
              <w:t xml:space="preserve"> interventions</w:t>
            </w:r>
          </w:p>
          <w:p w14:paraId="7F53C6B7" w14:textId="09338259" w:rsidR="00032DCD" w:rsidRPr="00A25A60" w:rsidRDefault="00032DCD" w:rsidP="00390EA4">
            <w:pPr>
              <w:pStyle w:val="liste1"/>
            </w:pPr>
            <w:r>
              <w:t xml:space="preserve">La non-application </w:t>
            </w:r>
            <w:r w:rsidRPr="00A25A60">
              <w:t xml:space="preserve">des </w:t>
            </w:r>
            <w:proofErr w:type="spellStart"/>
            <w:r w:rsidRPr="00A25A60">
              <w:t>mesures</w:t>
            </w:r>
            <w:proofErr w:type="spellEnd"/>
            <w:r w:rsidRPr="00A25A60">
              <w:t xml:space="preserve"> </w:t>
            </w:r>
            <w:proofErr w:type="spellStart"/>
            <w:r w:rsidRPr="00A25A60">
              <w:t>analytiques</w:t>
            </w:r>
            <w:proofErr w:type="spellEnd"/>
            <w:r w:rsidRPr="00A25A60">
              <w:t xml:space="preserve"> de </w:t>
            </w:r>
            <w:proofErr w:type="spellStart"/>
            <w:r w:rsidRPr="00A25A60">
              <w:t>résolution</w:t>
            </w:r>
            <w:proofErr w:type="spellEnd"/>
            <w:r w:rsidRPr="00A25A60">
              <w:t xml:space="preserve"> des </w:t>
            </w:r>
            <w:proofErr w:type="spellStart"/>
            <w:r w:rsidRPr="00A25A60">
              <w:t>problèmes</w:t>
            </w:r>
            <w:proofErr w:type="spellEnd"/>
            <w:r w:rsidRPr="00DA254F">
              <w:t xml:space="preserve"> </w:t>
            </w:r>
            <w:proofErr w:type="spellStart"/>
            <w:r w:rsidRPr="00DA254F">
              <w:t>rencontrés</w:t>
            </w:r>
            <w:proofErr w:type="spellEnd"/>
          </w:p>
          <w:p w14:paraId="4BFB4E05" w14:textId="1C45301D" w:rsidR="00032DCD" w:rsidRPr="00A25A60" w:rsidRDefault="00032DCD" w:rsidP="00390EA4">
            <w:pPr>
              <w:pStyle w:val="liste1"/>
            </w:pPr>
            <w:r>
              <w:t xml:space="preserve">La faiblesse dans la </w:t>
            </w:r>
            <w:proofErr w:type="spellStart"/>
            <w:r w:rsidRPr="00A25A60">
              <w:t>compréhension</w:t>
            </w:r>
            <w:proofErr w:type="spellEnd"/>
            <w:r w:rsidRPr="00A25A60">
              <w:t xml:space="preserve"> des notions </w:t>
            </w:r>
            <w:r w:rsidRPr="00DA254F">
              <w:t xml:space="preserve">de bonne </w:t>
            </w:r>
            <w:proofErr w:type="spellStart"/>
            <w:r w:rsidRPr="00DA254F">
              <w:t>gouvernance</w:t>
            </w:r>
            <w:proofErr w:type="spellEnd"/>
            <w:r w:rsidRPr="00DA254F">
              <w:t xml:space="preserve"> et de leadership</w:t>
            </w:r>
            <w:r w:rsidRPr="00A25A60">
              <w:t xml:space="preserve"> </w:t>
            </w:r>
            <w:proofErr w:type="spellStart"/>
            <w:r w:rsidRPr="00A25A60">
              <w:t>individuel</w:t>
            </w:r>
            <w:proofErr w:type="spellEnd"/>
            <w:r w:rsidRPr="00A25A60">
              <w:t xml:space="preserve"> et </w:t>
            </w:r>
            <w:proofErr w:type="spellStart"/>
            <w:r w:rsidRPr="00A25A60">
              <w:t>communautaire</w:t>
            </w:r>
            <w:proofErr w:type="spellEnd"/>
            <w:r w:rsidRPr="00A25A60">
              <w:t>.</w:t>
            </w:r>
          </w:p>
          <w:p w14:paraId="02ECF342" w14:textId="25538B13" w:rsidR="00032DCD" w:rsidRDefault="00032DCD" w:rsidP="00390EA4">
            <w:pPr>
              <w:pStyle w:val="liste1"/>
            </w:pPr>
            <w:r>
              <w:t>La faiblesse</w:t>
            </w:r>
            <w:r w:rsidRPr="00DA254F">
              <w:t xml:space="preserve"> dans la mise </w:t>
            </w:r>
            <w:proofErr w:type="spellStart"/>
            <w:r w:rsidRPr="00DA254F">
              <w:t>en</w:t>
            </w:r>
            <w:proofErr w:type="spellEnd"/>
            <w:r w:rsidRPr="00DA254F">
              <w:t xml:space="preserve"> </w:t>
            </w:r>
            <w:proofErr w:type="spellStart"/>
            <w:r w:rsidRPr="00DA254F">
              <w:t>œuvre</w:t>
            </w:r>
            <w:proofErr w:type="spellEnd"/>
            <w:r w:rsidRPr="00DA254F">
              <w:t xml:space="preserve"> de la gestion </w:t>
            </w:r>
            <w:proofErr w:type="spellStart"/>
            <w:r w:rsidRPr="00DA254F">
              <w:t>axée</w:t>
            </w:r>
            <w:proofErr w:type="spellEnd"/>
            <w:r w:rsidRPr="00DA254F">
              <w:t xml:space="preserve"> sur les </w:t>
            </w:r>
            <w:proofErr w:type="spellStart"/>
            <w:r w:rsidRPr="00DA254F">
              <w:t>résultats</w:t>
            </w:r>
            <w:proofErr w:type="spellEnd"/>
            <w:r w:rsidRPr="00DA254F">
              <w:t xml:space="preserve"> dans </w:t>
            </w:r>
            <w:proofErr w:type="spellStart"/>
            <w:r w:rsidRPr="00DA254F">
              <w:t>leurs</w:t>
            </w:r>
            <w:proofErr w:type="spellEnd"/>
            <w:r w:rsidRPr="00DA254F">
              <w:t xml:space="preserve"> interventions</w:t>
            </w:r>
          </w:p>
          <w:p w14:paraId="573CCB7F" w14:textId="110B16C5" w:rsidR="00032DCD" w:rsidRPr="002F2630" w:rsidRDefault="00032DCD" w:rsidP="00032DCD">
            <w:pPr>
              <w:pStyle w:val="NormalJBGS"/>
              <w:rPr>
                <w:rFonts w:cstheme="minorHAnsi"/>
                <w:i w:val="0"/>
                <w:iCs w:val="0"/>
                <w:color w:val="auto"/>
                <w:sz w:val="22"/>
                <w:szCs w:val="22"/>
                <w:lang w:val="fr-FR"/>
              </w:rPr>
            </w:pPr>
            <w:r>
              <w:rPr>
                <w:rFonts w:cstheme="minorHAnsi"/>
                <w:i w:val="0"/>
                <w:iCs w:val="0"/>
                <w:color w:val="auto"/>
                <w:sz w:val="22"/>
                <w:szCs w:val="22"/>
                <w:lang w:val="fr-FR"/>
              </w:rPr>
              <w:t xml:space="preserve">Les </w:t>
            </w:r>
            <w:r w:rsidR="007265A3">
              <w:rPr>
                <w:rFonts w:cstheme="minorHAnsi"/>
                <w:i w:val="0"/>
                <w:iCs w:val="0"/>
                <w:color w:val="auto"/>
                <w:sz w:val="22"/>
                <w:szCs w:val="22"/>
                <w:lang w:val="fr-FR"/>
              </w:rPr>
              <w:t>activités proposées sont</w:t>
            </w:r>
            <w:r>
              <w:rPr>
                <w:rFonts w:cstheme="minorHAnsi"/>
                <w:i w:val="0"/>
                <w:iCs w:val="0"/>
                <w:color w:val="auto"/>
                <w:sz w:val="22"/>
                <w:szCs w:val="22"/>
                <w:lang w:val="fr-FR"/>
              </w:rPr>
              <w:t> :</w:t>
            </w:r>
          </w:p>
          <w:p w14:paraId="52579A89" w14:textId="0E7F1817" w:rsidR="00032DCD" w:rsidRDefault="00032DCD" w:rsidP="00390EA4">
            <w:pPr>
              <w:pStyle w:val="liste1"/>
              <w:rPr>
                <w:i/>
                <w:iCs/>
              </w:rPr>
            </w:pPr>
            <w:r>
              <w:t xml:space="preserve">Identifier les </w:t>
            </w:r>
            <w:proofErr w:type="spellStart"/>
            <w:r>
              <w:t>problèmes</w:t>
            </w:r>
            <w:proofErr w:type="spellEnd"/>
            <w:r>
              <w:t xml:space="preserve"> </w:t>
            </w:r>
            <w:proofErr w:type="spellStart"/>
            <w:r>
              <w:t>liés</w:t>
            </w:r>
            <w:proofErr w:type="spellEnd"/>
            <w:r>
              <w:t xml:space="preserve"> à </w:t>
            </w:r>
            <w:proofErr w:type="spellStart"/>
            <w:r>
              <w:t>l’autonomisation</w:t>
            </w:r>
            <w:proofErr w:type="spellEnd"/>
            <w:r>
              <w:t xml:space="preserve"> et à la </w:t>
            </w:r>
            <w:proofErr w:type="spellStart"/>
            <w:r>
              <w:t>pérennisation</w:t>
            </w:r>
            <w:proofErr w:type="spellEnd"/>
            <w:r>
              <w:t xml:space="preserve"> des interventions </w:t>
            </w:r>
            <w:proofErr w:type="spellStart"/>
            <w:r>
              <w:t>en</w:t>
            </w:r>
            <w:proofErr w:type="spellEnd"/>
            <w:r>
              <w:t xml:space="preserve"> direction des populations </w:t>
            </w:r>
            <w:proofErr w:type="spellStart"/>
            <w:r>
              <w:t>clés</w:t>
            </w:r>
            <w:proofErr w:type="spellEnd"/>
            <w:r>
              <w:t xml:space="preserve"> par le </w:t>
            </w:r>
            <w:proofErr w:type="spellStart"/>
            <w:r>
              <w:t>recrutement</w:t>
            </w:r>
            <w:proofErr w:type="spellEnd"/>
            <w:r>
              <w:t xml:space="preserve"> d’un (01) consultant</w:t>
            </w:r>
          </w:p>
          <w:p w14:paraId="05D04A9F" w14:textId="77777777" w:rsidR="00032DCD" w:rsidRDefault="00032DCD" w:rsidP="00390EA4">
            <w:pPr>
              <w:pStyle w:val="liste1"/>
              <w:rPr>
                <w:i/>
                <w:iCs/>
              </w:rPr>
            </w:pPr>
            <w:proofErr w:type="spellStart"/>
            <w:r w:rsidRPr="005E69AC">
              <w:t>Organiser</w:t>
            </w:r>
            <w:proofErr w:type="spellEnd"/>
            <w:r w:rsidRPr="005E69AC">
              <w:t xml:space="preserve"> un atelier de restitution de </w:t>
            </w:r>
            <w:proofErr w:type="spellStart"/>
            <w:r w:rsidRPr="005E69AC">
              <w:t>l'étude</w:t>
            </w:r>
            <w:proofErr w:type="spellEnd"/>
            <w:r w:rsidRPr="005E69AC">
              <w:t xml:space="preserve"> sur </w:t>
            </w:r>
            <w:proofErr w:type="spellStart"/>
            <w:r w:rsidRPr="005E69AC">
              <w:t>l'identification</w:t>
            </w:r>
            <w:proofErr w:type="spellEnd"/>
            <w:r w:rsidRPr="005E69AC">
              <w:t xml:space="preserve"> des </w:t>
            </w:r>
            <w:proofErr w:type="spellStart"/>
            <w:r w:rsidRPr="005E69AC">
              <w:t>problèmes</w:t>
            </w:r>
            <w:proofErr w:type="spellEnd"/>
            <w:r w:rsidRPr="005E69AC">
              <w:t xml:space="preserve"> </w:t>
            </w:r>
            <w:proofErr w:type="spellStart"/>
            <w:r w:rsidRPr="005E69AC">
              <w:t>liés</w:t>
            </w:r>
            <w:proofErr w:type="spellEnd"/>
            <w:r w:rsidRPr="005E69AC">
              <w:t xml:space="preserve"> à </w:t>
            </w:r>
            <w:proofErr w:type="spellStart"/>
            <w:r w:rsidRPr="005E69AC">
              <w:t>l'autonomisation</w:t>
            </w:r>
            <w:proofErr w:type="spellEnd"/>
            <w:r w:rsidRPr="005E69AC">
              <w:t xml:space="preserve"> et à la </w:t>
            </w:r>
            <w:proofErr w:type="spellStart"/>
            <w:r w:rsidRPr="005E69AC">
              <w:t>pérennisation</w:t>
            </w:r>
            <w:proofErr w:type="spellEnd"/>
            <w:r w:rsidRPr="005E69AC">
              <w:t xml:space="preserve"> des interventions </w:t>
            </w:r>
            <w:proofErr w:type="spellStart"/>
            <w:r w:rsidRPr="005E69AC">
              <w:t>en</w:t>
            </w:r>
            <w:proofErr w:type="spellEnd"/>
            <w:r w:rsidRPr="005E69AC">
              <w:t xml:space="preserve"> direction des populations </w:t>
            </w:r>
            <w:proofErr w:type="spellStart"/>
            <w:r w:rsidRPr="005E69AC">
              <w:t>clés</w:t>
            </w:r>
            <w:proofErr w:type="spellEnd"/>
          </w:p>
          <w:p w14:paraId="22CB68DD" w14:textId="76C4869F" w:rsidR="00032DCD" w:rsidRDefault="00032DCD" w:rsidP="00390EA4">
            <w:pPr>
              <w:pStyle w:val="liste1"/>
              <w:rPr>
                <w:i/>
                <w:iCs/>
              </w:rPr>
            </w:pPr>
            <w:proofErr w:type="spellStart"/>
            <w:r>
              <w:t>Apporte</w:t>
            </w:r>
            <w:proofErr w:type="spellEnd"/>
            <w:r>
              <w:t xml:space="preserve"> un </w:t>
            </w:r>
            <w:proofErr w:type="spellStart"/>
            <w:r>
              <w:t>appui</w:t>
            </w:r>
            <w:proofErr w:type="spellEnd"/>
            <w:r>
              <w:t xml:space="preserve"> à la mise </w:t>
            </w:r>
            <w:proofErr w:type="spellStart"/>
            <w:r>
              <w:t>en</w:t>
            </w:r>
            <w:proofErr w:type="spellEnd"/>
            <w:r>
              <w:t xml:space="preserve"> place d’un </w:t>
            </w:r>
            <w:proofErr w:type="spellStart"/>
            <w:r>
              <w:t>système</w:t>
            </w:r>
            <w:proofErr w:type="spellEnd"/>
            <w:r>
              <w:t xml:space="preserve"> de</w:t>
            </w:r>
            <w:r w:rsidRPr="004B268A">
              <w:t xml:space="preserve"> </w:t>
            </w:r>
            <w:proofErr w:type="spellStart"/>
            <w:r w:rsidRPr="004B268A">
              <w:t>mentorat</w:t>
            </w:r>
            <w:proofErr w:type="spellEnd"/>
            <w:r w:rsidRPr="004B268A">
              <w:t xml:space="preserve"> </w:t>
            </w:r>
            <w:proofErr w:type="spellStart"/>
            <w:r w:rsidRPr="004B268A">
              <w:t>d’organisations</w:t>
            </w:r>
            <w:proofErr w:type="spellEnd"/>
            <w:r w:rsidRPr="004B268A">
              <w:t xml:space="preserve"> </w:t>
            </w:r>
            <w:proofErr w:type="spellStart"/>
            <w:r>
              <w:t>identitaires</w:t>
            </w:r>
            <w:proofErr w:type="spellEnd"/>
            <w:r>
              <w:t xml:space="preserve"> </w:t>
            </w:r>
            <w:r w:rsidRPr="004B268A">
              <w:t xml:space="preserve">et de </w:t>
            </w:r>
            <w:proofErr w:type="spellStart"/>
            <w:r w:rsidRPr="004B268A">
              <w:t>réseaux</w:t>
            </w:r>
            <w:proofErr w:type="spellEnd"/>
            <w:r w:rsidRPr="004B268A">
              <w:t xml:space="preserve"> </w:t>
            </w:r>
            <w:proofErr w:type="spellStart"/>
            <w:r w:rsidRPr="004B268A">
              <w:t>communautaires</w:t>
            </w:r>
            <w:proofErr w:type="spellEnd"/>
            <w:r w:rsidRPr="004B268A">
              <w:t xml:space="preserve"> </w:t>
            </w:r>
            <w:r>
              <w:t xml:space="preserve">à travers des </w:t>
            </w:r>
            <w:proofErr w:type="spellStart"/>
            <w:r>
              <w:t>appuis</w:t>
            </w:r>
            <w:proofErr w:type="spellEnd"/>
            <w:r>
              <w:t xml:space="preserve"> </w:t>
            </w:r>
            <w:proofErr w:type="spellStart"/>
            <w:r>
              <w:t>d’organisations</w:t>
            </w:r>
            <w:proofErr w:type="spellEnd"/>
            <w:r>
              <w:t xml:space="preserve"> leaders</w:t>
            </w:r>
          </w:p>
          <w:p w14:paraId="7082BB7A" w14:textId="77777777" w:rsidR="00032DCD" w:rsidRPr="00307D9A" w:rsidRDefault="00032DCD" w:rsidP="00390EA4">
            <w:pPr>
              <w:pStyle w:val="liste1"/>
              <w:rPr>
                <w:i/>
                <w:iCs/>
              </w:rPr>
            </w:pPr>
            <w:proofErr w:type="spellStart"/>
            <w:r>
              <w:t>Organiser</w:t>
            </w:r>
            <w:proofErr w:type="spellEnd"/>
            <w:r>
              <w:t xml:space="preserve"> </w:t>
            </w:r>
            <w:proofErr w:type="spellStart"/>
            <w:r>
              <w:t>une</w:t>
            </w:r>
            <w:proofErr w:type="spellEnd"/>
            <w:r>
              <w:t xml:space="preserve"> session de formation </w:t>
            </w:r>
            <w:proofErr w:type="spellStart"/>
            <w:r>
              <w:t>en</w:t>
            </w:r>
            <w:proofErr w:type="spellEnd"/>
            <w:r>
              <w:t xml:space="preserve"> </w:t>
            </w:r>
            <w:proofErr w:type="spellStart"/>
            <w:r>
              <w:t>méthode</w:t>
            </w:r>
            <w:proofErr w:type="spellEnd"/>
            <w:r>
              <w:t xml:space="preserve"> de </w:t>
            </w:r>
            <w:proofErr w:type="spellStart"/>
            <w:r>
              <w:t>collecte</w:t>
            </w:r>
            <w:proofErr w:type="spellEnd"/>
            <w:r>
              <w:t xml:space="preserve"> de </w:t>
            </w:r>
            <w:proofErr w:type="spellStart"/>
            <w:r>
              <w:t>preuve</w:t>
            </w:r>
            <w:proofErr w:type="spellEnd"/>
            <w:r>
              <w:t xml:space="preserve"> à </w:t>
            </w:r>
            <w:proofErr w:type="spellStart"/>
            <w:r>
              <w:t>l’attention</w:t>
            </w:r>
            <w:proofErr w:type="spellEnd"/>
            <w:r>
              <w:t xml:space="preserve"> de 20 </w:t>
            </w:r>
            <w:proofErr w:type="spellStart"/>
            <w:r>
              <w:t>responsables</w:t>
            </w:r>
            <w:proofErr w:type="spellEnd"/>
            <w:r>
              <w:t xml:space="preserve"> </w:t>
            </w:r>
            <w:proofErr w:type="spellStart"/>
            <w:r>
              <w:t>d’organisation</w:t>
            </w:r>
            <w:proofErr w:type="spellEnd"/>
            <w:r>
              <w:t xml:space="preserve"> </w:t>
            </w:r>
            <w:proofErr w:type="spellStart"/>
            <w:r>
              <w:t>identitaire</w:t>
            </w:r>
            <w:proofErr w:type="spellEnd"/>
          </w:p>
          <w:p w14:paraId="625F2550" w14:textId="6C6D7D8A" w:rsidR="00032DCD" w:rsidRPr="007C5883" w:rsidRDefault="00032DCD" w:rsidP="00390EA4">
            <w:pPr>
              <w:pStyle w:val="liste1"/>
              <w:rPr>
                <w:i/>
                <w:iCs/>
              </w:rPr>
            </w:pPr>
            <w:proofErr w:type="spellStart"/>
            <w:r w:rsidRPr="00307D9A">
              <w:t>Renforcer</w:t>
            </w:r>
            <w:proofErr w:type="spellEnd"/>
            <w:r w:rsidRPr="00307D9A">
              <w:t xml:space="preserve"> les </w:t>
            </w:r>
            <w:proofErr w:type="spellStart"/>
            <w:r w:rsidRPr="00307D9A">
              <w:t>capacités</w:t>
            </w:r>
            <w:proofErr w:type="spellEnd"/>
            <w:r w:rsidRPr="00307D9A">
              <w:t xml:space="preserve"> </w:t>
            </w:r>
            <w:r>
              <w:t xml:space="preserve">techniques de 20 </w:t>
            </w:r>
            <w:proofErr w:type="spellStart"/>
            <w:r>
              <w:t>responsables</w:t>
            </w:r>
            <w:proofErr w:type="spellEnd"/>
            <w:r>
              <w:t xml:space="preserve"> </w:t>
            </w:r>
            <w:proofErr w:type="spellStart"/>
            <w:r>
              <w:t>d’organisation</w:t>
            </w:r>
            <w:proofErr w:type="spellEnd"/>
            <w:r>
              <w:t xml:space="preserve"> </w:t>
            </w:r>
            <w:proofErr w:type="spellStart"/>
            <w:r>
              <w:t>identitaires</w:t>
            </w:r>
            <w:proofErr w:type="spellEnd"/>
            <w:r>
              <w:t xml:space="preserve"> </w:t>
            </w:r>
            <w:proofErr w:type="spellStart"/>
            <w:r>
              <w:t>en</w:t>
            </w:r>
            <w:proofErr w:type="spellEnd"/>
            <w:r>
              <w:t xml:space="preserve"> plaidoyer pour lever les obstacles au droits </w:t>
            </w:r>
            <w:proofErr w:type="spellStart"/>
            <w:r>
              <w:t>humains</w:t>
            </w:r>
            <w:proofErr w:type="spellEnd"/>
            <w:r>
              <w:t xml:space="preserve"> qui </w:t>
            </w:r>
            <w:proofErr w:type="spellStart"/>
            <w:r>
              <w:t>entravent</w:t>
            </w:r>
            <w:proofErr w:type="spellEnd"/>
            <w:r>
              <w:t xml:space="preserve"> </w:t>
            </w:r>
            <w:proofErr w:type="spellStart"/>
            <w:r>
              <w:t>l’accès</w:t>
            </w:r>
            <w:proofErr w:type="spellEnd"/>
            <w:r>
              <w:t xml:space="preserve"> au service de santé</w:t>
            </w:r>
          </w:p>
          <w:p w14:paraId="772760C6" w14:textId="3F761A08" w:rsidR="00032DCD" w:rsidRDefault="00032DCD" w:rsidP="00390EA4">
            <w:pPr>
              <w:pStyle w:val="liste1"/>
              <w:rPr>
                <w:i/>
                <w:iCs/>
              </w:rPr>
            </w:pPr>
            <w:proofErr w:type="spellStart"/>
            <w:r>
              <w:t>Organiser</w:t>
            </w:r>
            <w:proofErr w:type="spellEnd"/>
            <w:r>
              <w:t xml:space="preserve"> </w:t>
            </w:r>
            <w:proofErr w:type="spellStart"/>
            <w:r>
              <w:t>une</w:t>
            </w:r>
            <w:proofErr w:type="spellEnd"/>
            <w:r>
              <w:t xml:space="preserve"> session de formation sur la gestion </w:t>
            </w:r>
            <w:proofErr w:type="spellStart"/>
            <w:r>
              <w:t>axée</w:t>
            </w:r>
            <w:proofErr w:type="spellEnd"/>
            <w:r>
              <w:t xml:space="preserve"> sur les </w:t>
            </w:r>
            <w:proofErr w:type="spellStart"/>
            <w:r>
              <w:t>résultats</w:t>
            </w:r>
            <w:proofErr w:type="spellEnd"/>
            <w:r>
              <w:t xml:space="preserve"> à </w:t>
            </w:r>
            <w:proofErr w:type="spellStart"/>
            <w:r>
              <w:t>l’attention</w:t>
            </w:r>
            <w:proofErr w:type="spellEnd"/>
            <w:r>
              <w:t xml:space="preserve"> de 20 </w:t>
            </w:r>
            <w:proofErr w:type="spellStart"/>
            <w:r>
              <w:t>coordonnateurs</w:t>
            </w:r>
            <w:proofErr w:type="spellEnd"/>
            <w:r>
              <w:t xml:space="preserve"> </w:t>
            </w:r>
            <w:proofErr w:type="spellStart"/>
            <w:r>
              <w:t>d’organisations</w:t>
            </w:r>
            <w:proofErr w:type="spellEnd"/>
            <w:r>
              <w:t xml:space="preserve"> </w:t>
            </w:r>
            <w:proofErr w:type="spellStart"/>
            <w:r>
              <w:t>identitaires</w:t>
            </w:r>
            <w:proofErr w:type="spellEnd"/>
          </w:p>
          <w:p w14:paraId="3CB88FA7" w14:textId="30D18B56" w:rsidR="00032DCD" w:rsidRDefault="00032DCD" w:rsidP="00390EA4">
            <w:pPr>
              <w:pStyle w:val="liste1"/>
              <w:rPr>
                <w:i/>
                <w:iCs/>
              </w:rPr>
            </w:pPr>
            <w:proofErr w:type="spellStart"/>
            <w:r>
              <w:t>Organiser</w:t>
            </w:r>
            <w:proofErr w:type="spellEnd"/>
            <w:r>
              <w:t xml:space="preserve"> </w:t>
            </w:r>
            <w:proofErr w:type="spellStart"/>
            <w:r>
              <w:t>une</w:t>
            </w:r>
            <w:proofErr w:type="spellEnd"/>
            <w:r>
              <w:t xml:space="preserve"> session de formation sur la gestion financière des </w:t>
            </w:r>
            <w:proofErr w:type="spellStart"/>
            <w:r>
              <w:t>programmes</w:t>
            </w:r>
            <w:proofErr w:type="spellEnd"/>
            <w:r>
              <w:t xml:space="preserve"> et </w:t>
            </w:r>
            <w:proofErr w:type="spellStart"/>
            <w:r>
              <w:t>projets</w:t>
            </w:r>
            <w:proofErr w:type="spellEnd"/>
            <w:r>
              <w:t xml:space="preserve"> à </w:t>
            </w:r>
            <w:proofErr w:type="spellStart"/>
            <w:r>
              <w:t>l’attention</w:t>
            </w:r>
            <w:proofErr w:type="spellEnd"/>
            <w:r>
              <w:t xml:space="preserve"> de 20 </w:t>
            </w:r>
            <w:proofErr w:type="spellStart"/>
            <w:r>
              <w:t>responsables</w:t>
            </w:r>
            <w:proofErr w:type="spellEnd"/>
            <w:r>
              <w:t xml:space="preserve"> financiers </w:t>
            </w:r>
            <w:proofErr w:type="spellStart"/>
            <w:r>
              <w:t>d’organisations</w:t>
            </w:r>
            <w:proofErr w:type="spellEnd"/>
            <w:r>
              <w:t xml:space="preserve"> </w:t>
            </w:r>
            <w:proofErr w:type="spellStart"/>
            <w:r>
              <w:t>identitaires</w:t>
            </w:r>
            <w:proofErr w:type="spellEnd"/>
          </w:p>
          <w:p w14:paraId="0F6BE019" w14:textId="71DB2154" w:rsidR="00032DCD" w:rsidRDefault="00032DCD" w:rsidP="00390EA4">
            <w:pPr>
              <w:pStyle w:val="liste1"/>
              <w:rPr>
                <w:i/>
                <w:iCs/>
              </w:rPr>
            </w:pPr>
            <w:proofErr w:type="spellStart"/>
            <w:r w:rsidRPr="007B3E02">
              <w:t>Organiser</w:t>
            </w:r>
            <w:proofErr w:type="spellEnd"/>
            <w:r w:rsidRPr="007B3E02">
              <w:t xml:space="preserve"> </w:t>
            </w:r>
            <w:proofErr w:type="spellStart"/>
            <w:r w:rsidRPr="007B3E02">
              <w:t>un</w:t>
            </w:r>
            <w:r>
              <w:t>e</w:t>
            </w:r>
            <w:proofErr w:type="spellEnd"/>
            <w:r>
              <w:t xml:space="preserve"> session de formation sur la bonne </w:t>
            </w:r>
            <w:proofErr w:type="spellStart"/>
            <w:r>
              <w:t>gouvernance</w:t>
            </w:r>
            <w:proofErr w:type="spellEnd"/>
            <w:r>
              <w:t xml:space="preserve"> et le leadership </w:t>
            </w:r>
            <w:proofErr w:type="spellStart"/>
            <w:r>
              <w:t>communautaire</w:t>
            </w:r>
            <w:proofErr w:type="spellEnd"/>
            <w:r>
              <w:t xml:space="preserve"> à </w:t>
            </w:r>
            <w:proofErr w:type="spellStart"/>
            <w:r>
              <w:t>l’attention</w:t>
            </w:r>
            <w:proofErr w:type="spellEnd"/>
            <w:r>
              <w:t xml:space="preserve"> de 20 </w:t>
            </w:r>
            <w:proofErr w:type="spellStart"/>
            <w:r>
              <w:t>présidents</w:t>
            </w:r>
            <w:proofErr w:type="spellEnd"/>
            <w:r>
              <w:t xml:space="preserve"> </w:t>
            </w:r>
            <w:proofErr w:type="spellStart"/>
            <w:r>
              <w:t>d’organisations</w:t>
            </w:r>
            <w:proofErr w:type="spellEnd"/>
            <w:r>
              <w:t xml:space="preserve"> </w:t>
            </w:r>
            <w:proofErr w:type="spellStart"/>
            <w:r>
              <w:t>identitaires</w:t>
            </w:r>
            <w:proofErr w:type="spellEnd"/>
          </w:p>
          <w:p w14:paraId="3880DE2C" w14:textId="7E9A9177" w:rsidR="00032DCD" w:rsidRDefault="00032DCD" w:rsidP="00390EA4">
            <w:pPr>
              <w:pStyle w:val="liste1"/>
              <w:rPr>
                <w:i/>
                <w:iCs/>
              </w:rPr>
            </w:pPr>
            <w:proofErr w:type="spellStart"/>
            <w:r w:rsidRPr="00CE2843">
              <w:t>Organiser</w:t>
            </w:r>
            <w:proofErr w:type="spellEnd"/>
            <w:r w:rsidRPr="00CE2843">
              <w:t xml:space="preserve"> 01 </w:t>
            </w:r>
            <w:proofErr w:type="spellStart"/>
            <w:r w:rsidRPr="00CE2843">
              <w:t>réunion</w:t>
            </w:r>
            <w:proofErr w:type="spellEnd"/>
            <w:r w:rsidRPr="00CE2843">
              <w:t xml:space="preserve"> </w:t>
            </w:r>
            <w:proofErr w:type="spellStart"/>
            <w:r w:rsidRPr="00CE2843">
              <w:t>trimestrielle</w:t>
            </w:r>
            <w:proofErr w:type="spellEnd"/>
            <w:r w:rsidRPr="00CE2843">
              <w:t xml:space="preserve"> de coordination du </w:t>
            </w:r>
            <w:proofErr w:type="spellStart"/>
            <w:r w:rsidRPr="00CE2843">
              <w:t>réseau</w:t>
            </w:r>
            <w:proofErr w:type="spellEnd"/>
            <w:r w:rsidRPr="00CE2843">
              <w:t xml:space="preserve"> des </w:t>
            </w:r>
            <w:proofErr w:type="spellStart"/>
            <w:r w:rsidRPr="00CE2843">
              <w:t>organisations</w:t>
            </w:r>
            <w:proofErr w:type="spellEnd"/>
            <w:r w:rsidRPr="00CE2843">
              <w:t xml:space="preserve"> </w:t>
            </w:r>
            <w:proofErr w:type="spellStart"/>
            <w:r w:rsidRPr="00CE2843">
              <w:t>identitaires</w:t>
            </w:r>
            <w:proofErr w:type="spellEnd"/>
            <w:r w:rsidRPr="00CE2843">
              <w:t xml:space="preserve"> (HSH-TS-UD-TG)</w:t>
            </w:r>
          </w:p>
          <w:p w14:paraId="42D81593" w14:textId="0ACB8F79" w:rsidR="00032DCD" w:rsidRDefault="00032DCD" w:rsidP="00390EA4">
            <w:pPr>
              <w:pStyle w:val="liste1"/>
              <w:rPr>
                <w:i/>
                <w:iCs/>
              </w:rPr>
            </w:pPr>
            <w:proofErr w:type="spellStart"/>
            <w:r w:rsidRPr="00CE2843">
              <w:t>Faciliter</w:t>
            </w:r>
            <w:proofErr w:type="spellEnd"/>
            <w:r w:rsidRPr="00CE2843">
              <w:t xml:space="preserve"> la particip</w:t>
            </w:r>
            <w:r>
              <w:t xml:space="preserve">ation de 08 </w:t>
            </w:r>
            <w:proofErr w:type="spellStart"/>
            <w:r>
              <w:t>Directeurs</w:t>
            </w:r>
            <w:proofErr w:type="spellEnd"/>
            <w:r>
              <w:t xml:space="preserve"> </w:t>
            </w:r>
            <w:proofErr w:type="spellStart"/>
            <w:r>
              <w:t>Exécutifs</w:t>
            </w:r>
            <w:proofErr w:type="spellEnd"/>
            <w:r>
              <w:t xml:space="preserve"> des </w:t>
            </w:r>
            <w:proofErr w:type="spellStart"/>
            <w:r>
              <w:t>organisations</w:t>
            </w:r>
            <w:proofErr w:type="spellEnd"/>
            <w:r>
              <w:t xml:space="preserve"> </w:t>
            </w:r>
            <w:proofErr w:type="spellStart"/>
            <w:r>
              <w:t>identitaires</w:t>
            </w:r>
            <w:proofErr w:type="spellEnd"/>
            <w:r w:rsidRPr="00CE2843">
              <w:t xml:space="preserve"> à des </w:t>
            </w:r>
            <w:proofErr w:type="spellStart"/>
            <w:r w:rsidRPr="00CE2843">
              <w:t>conférences</w:t>
            </w:r>
            <w:proofErr w:type="spellEnd"/>
            <w:r w:rsidRPr="00CE2843">
              <w:t xml:space="preserve"> </w:t>
            </w:r>
            <w:r>
              <w:t>sous-</w:t>
            </w:r>
            <w:proofErr w:type="spellStart"/>
            <w:r>
              <w:t>régionales</w:t>
            </w:r>
            <w:proofErr w:type="spellEnd"/>
            <w:r w:rsidRPr="00CE2843">
              <w:t xml:space="preserve"> et </w:t>
            </w:r>
            <w:proofErr w:type="spellStart"/>
            <w:r w:rsidRPr="00CE2843">
              <w:t>internationales</w:t>
            </w:r>
            <w:proofErr w:type="spellEnd"/>
            <w:r>
              <w:t>.</w:t>
            </w:r>
            <w:r w:rsidRPr="00CE2843">
              <w:t xml:space="preserve"> (</w:t>
            </w:r>
            <w:proofErr w:type="spellStart"/>
            <w:r w:rsidRPr="00CE2843">
              <w:t>Conférence</w:t>
            </w:r>
            <w:proofErr w:type="spellEnd"/>
            <w:r w:rsidRPr="00CE2843">
              <w:t xml:space="preserve"> ICASA, AFRA VIH</w:t>
            </w:r>
            <w:r>
              <w:t>…</w:t>
            </w:r>
            <w:r w:rsidRPr="00CE2843">
              <w:t>) pour les TS/MSM/TG/UD </w:t>
            </w:r>
            <w:r w:rsidRPr="005C5F1B">
              <w:t xml:space="preserve">(2 </w:t>
            </w:r>
            <w:proofErr w:type="spellStart"/>
            <w:r w:rsidRPr="005C5F1B">
              <w:t>personnes</w:t>
            </w:r>
            <w:proofErr w:type="spellEnd"/>
            <w:r w:rsidRPr="005C5F1B">
              <w:t>/</w:t>
            </w:r>
            <w:proofErr w:type="spellStart"/>
            <w:r w:rsidRPr="005C5F1B">
              <w:t>groupe</w:t>
            </w:r>
            <w:proofErr w:type="spellEnd"/>
            <w:r w:rsidRPr="005C5F1B">
              <w:t xml:space="preserve"> </w:t>
            </w:r>
            <w:proofErr w:type="spellStart"/>
            <w:r w:rsidRPr="005C5F1B">
              <w:t>cible</w:t>
            </w:r>
            <w:proofErr w:type="spellEnd"/>
            <w:r w:rsidRPr="005C5F1B">
              <w:t>)</w:t>
            </w:r>
          </w:p>
          <w:p w14:paraId="76C08F33" w14:textId="3E4BD792" w:rsidR="00032DCD" w:rsidRDefault="00032DCD" w:rsidP="00390EA4">
            <w:pPr>
              <w:pStyle w:val="liste1"/>
              <w:rPr>
                <w:i/>
                <w:iCs/>
              </w:rPr>
            </w:pPr>
            <w:proofErr w:type="spellStart"/>
            <w:r w:rsidRPr="004B268A">
              <w:t>Évalu</w:t>
            </w:r>
            <w:r>
              <w:t>er</w:t>
            </w:r>
            <w:proofErr w:type="spellEnd"/>
            <w:r>
              <w:t xml:space="preserve"> les</w:t>
            </w:r>
            <w:r w:rsidRPr="004B268A">
              <w:t xml:space="preserve"> </w:t>
            </w:r>
            <w:proofErr w:type="spellStart"/>
            <w:r w:rsidRPr="004B268A">
              <w:t>capacité</w:t>
            </w:r>
            <w:r>
              <w:t>s</w:t>
            </w:r>
            <w:proofErr w:type="spellEnd"/>
            <w:r w:rsidRPr="004B268A">
              <w:t xml:space="preserve"> et </w:t>
            </w:r>
            <w:proofErr w:type="spellStart"/>
            <w:r w:rsidRPr="004B268A">
              <w:t>élabor</w:t>
            </w:r>
            <w:r>
              <w:t>er</w:t>
            </w:r>
            <w:proofErr w:type="spellEnd"/>
            <w:r w:rsidRPr="004B268A">
              <w:t xml:space="preserve"> </w:t>
            </w:r>
            <w:r>
              <w:t>les</w:t>
            </w:r>
            <w:r w:rsidRPr="004B268A">
              <w:t xml:space="preserve"> plans de </w:t>
            </w:r>
            <w:proofErr w:type="spellStart"/>
            <w:r w:rsidRPr="004B268A">
              <w:t>renforcement</w:t>
            </w:r>
            <w:proofErr w:type="spellEnd"/>
            <w:r w:rsidRPr="004B268A">
              <w:t xml:space="preserve"> des </w:t>
            </w:r>
            <w:proofErr w:type="spellStart"/>
            <w:r w:rsidRPr="004B268A">
              <w:t>capacités</w:t>
            </w:r>
            <w:proofErr w:type="spellEnd"/>
            <w:r w:rsidRPr="004B268A">
              <w:t xml:space="preserve"> </w:t>
            </w:r>
            <w:proofErr w:type="spellStart"/>
            <w:r w:rsidRPr="004B268A">
              <w:t>adaptés</w:t>
            </w:r>
            <w:proofErr w:type="spellEnd"/>
            <w:r>
              <w:t xml:space="preserve"> (</w:t>
            </w:r>
            <w:proofErr w:type="spellStart"/>
            <w:r>
              <w:t>c</w:t>
            </w:r>
            <w:r w:rsidRPr="004B268A">
              <w:t>apacité</w:t>
            </w:r>
            <w:proofErr w:type="spellEnd"/>
            <w:r w:rsidRPr="004B268A">
              <w:t xml:space="preserve"> </w:t>
            </w:r>
            <w:proofErr w:type="spellStart"/>
            <w:r w:rsidRPr="004B268A">
              <w:t>organisationnelle</w:t>
            </w:r>
            <w:proofErr w:type="spellEnd"/>
            <w:r w:rsidRPr="004B268A">
              <w:t xml:space="preserve"> et </w:t>
            </w:r>
            <w:proofErr w:type="spellStart"/>
            <w:r w:rsidRPr="004B268A">
              <w:t>institutionnelle</w:t>
            </w:r>
            <w:proofErr w:type="spellEnd"/>
            <w:r w:rsidRPr="004B268A">
              <w:t xml:space="preserve">, y </w:t>
            </w:r>
            <w:proofErr w:type="spellStart"/>
            <w:r w:rsidRPr="004B268A">
              <w:t>compris</w:t>
            </w:r>
            <w:proofErr w:type="spellEnd"/>
            <w:r w:rsidRPr="004B268A">
              <w:t xml:space="preserve"> </w:t>
            </w:r>
            <w:proofErr w:type="spellStart"/>
            <w:r w:rsidRPr="004B268A">
              <w:t>gouvernance</w:t>
            </w:r>
            <w:proofErr w:type="spellEnd"/>
            <w:r w:rsidRPr="004B268A">
              <w:t xml:space="preserve">, gestion financière, planification de la </w:t>
            </w:r>
            <w:proofErr w:type="spellStart"/>
            <w:r w:rsidRPr="004B268A">
              <w:t>durabilité</w:t>
            </w:r>
            <w:proofErr w:type="spellEnd"/>
            <w:r w:rsidRPr="004B268A">
              <w:t xml:space="preserve">, politiques internes, </w:t>
            </w:r>
            <w:proofErr w:type="spellStart"/>
            <w:r w:rsidRPr="004B268A">
              <w:t>développement</w:t>
            </w:r>
            <w:proofErr w:type="spellEnd"/>
            <w:r w:rsidRPr="004B268A">
              <w:t xml:space="preserve"> des </w:t>
            </w:r>
            <w:proofErr w:type="spellStart"/>
            <w:r w:rsidRPr="004B268A">
              <w:t>compétences</w:t>
            </w:r>
            <w:proofErr w:type="spellEnd"/>
            <w:r w:rsidRPr="004B268A">
              <w:t xml:space="preserve"> </w:t>
            </w:r>
            <w:proofErr w:type="spellStart"/>
            <w:r w:rsidRPr="004B268A">
              <w:t>d’encadrement</w:t>
            </w:r>
            <w:proofErr w:type="spellEnd"/>
            <w:r>
              <w:t xml:space="preserve">, </w:t>
            </w:r>
            <w:r w:rsidRPr="004B268A">
              <w:t xml:space="preserve">gestion de </w:t>
            </w:r>
            <w:proofErr w:type="spellStart"/>
            <w:r w:rsidRPr="004B268A">
              <w:t>programmes</w:t>
            </w:r>
            <w:proofErr w:type="spellEnd"/>
            <w:r w:rsidRPr="004B268A">
              <w:t xml:space="preserve">, </w:t>
            </w:r>
            <w:proofErr w:type="spellStart"/>
            <w:r w:rsidRPr="004B268A">
              <w:t>suivi</w:t>
            </w:r>
            <w:proofErr w:type="spellEnd"/>
            <w:r w:rsidRPr="004B268A">
              <w:t xml:space="preserve">, </w:t>
            </w:r>
            <w:proofErr w:type="spellStart"/>
            <w:r w:rsidRPr="004B268A">
              <w:t>évaluation</w:t>
            </w:r>
            <w:proofErr w:type="spellEnd"/>
            <w:r w:rsidRPr="004B268A">
              <w:t xml:space="preserve"> et </w:t>
            </w:r>
            <w:proofErr w:type="spellStart"/>
            <w:r w:rsidRPr="004B268A">
              <w:t>apprentissage</w:t>
            </w:r>
            <w:proofErr w:type="spellEnd"/>
            <w:r w:rsidRPr="004B268A">
              <w:t xml:space="preserve"> et communication</w:t>
            </w:r>
            <w:r>
              <w:t xml:space="preserve">, </w:t>
            </w:r>
            <w:proofErr w:type="spellStart"/>
            <w:r>
              <w:t>p</w:t>
            </w:r>
            <w:r w:rsidRPr="004B268A">
              <w:t>artenariats</w:t>
            </w:r>
            <w:proofErr w:type="spellEnd"/>
            <w:r>
              <w:t xml:space="preserve">) de 04 </w:t>
            </w:r>
            <w:proofErr w:type="spellStart"/>
            <w:r>
              <w:t>nouvelles</w:t>
            </w:r>
            <w:proofErr w:type="spellEnd"/>
            <w:r>
              <w:t xml:space="preserve"> </w:t>
            </w:r>
            <w:proofErr w:type="spellStart"/>
            <w:r>
              <w:t>organisations</w:t>
            </w:r>
            <w:proofErr w:type="spellEnd"/>
            <w:r>
              <w:t xml:space="preserve"> </w:t>
            </w:r>
            <w:proofErr w:type="spellStart"/>
            <w:r>
              <w:t>identitaires</w:t>
            </w:r>
            <w:proofErr w:type="spellEnd"/>
          </w:p>
          <w:p w14:paraId="54429FD2" w14:textId="3970534E" w:rsidR="00032DCD" w:rsidRDefault="00032DCD" w:rsidP="00390EA4">
            <w:pPr>
              <w:pStyle w:val="liste1"/>
              <w:rPr>
                <w:i/>
                <w:iCs/>
              </w:rPr>
            </w:pPr>
            <w:proofErr w:type="spellStart"/>
            <w:r w:rsidRPr="001840E6">
              <w:t>Organiser</w:t>
            </w:r>
            <w:proofErr w:type="spellEnd"/>
            <w:r w:rsidRPr="001840E6">
              <w:t xml:space="preserve"> un atelier de restitution d'un (1) jour de </w:t>
            </w:r>
            <w:proofErr w:type="spellStart"/>
            <w:r w:rsidRPr="001840E6">
              <w:t>l'analyse</w:t>
            </w:r>
            <w:proofErr w:type="spellEnd"/>
            <w:r w:rsidRPr="001840E6">
              <w:t xml:space="preserve"> des </w:t>
            </w:r>
            <w:proofErr w:type="spellStart"/>
            <w:r w:rsidRPr="001840E6">
              <w:t>capacités</w:t>
            </w:r>
            <w:proofErr w:type="spellEnd"/>
            <w:r w:rsidRPr="001840E6">
              <w:t xml:space="preserve"> des 04 </w:t>
            </w:r>
            <w:proofErr w:type="spellStart"/>
            <w:r w:rsidRPr="001840E6">
              <w:t>nouvelles</w:t>
            </w:r>
            <w:proofErr w:type="spellEnd"/>
            <w:r w:rsidRPr="001840E6">
              <w:t xml:space="preserve"> </w:t>
            </w:r>
            <w:proofErr w:type="spellStart"/>
            <w:r w:rsidRPr="001840E6">
              <w:t>organisations</w:t>
            </w:r>
            <w:proofErr w:type="spellEnd"/>
            <w:r w:rsidRPr="001840E6">
              <w:t xml:space="preserve"> </w:t>
            </w:r>
            <w:proofErr w:type="spellStart"/>
            <w:r w:rsidRPr="001840E6">
              <w:t>identitaires</w:t>
            </w:r>
            <w:proofErr w:type="spellEnd"/>
          </w:p>
          <w:p w14:paraId="1AFA24B7" w14:textId="1FD0F224" w:rsidR="00032DCD" w:rsidRDefault="00032DCD" w:rsidP="00390EA4">
            <w:pPr>
              <w:pStyle w:val="liste1"/>
              <w:rPr>
                <w:i/>
                <w:iCs/>
              </w:rPr>
            </w:pPr>
            <w:proofErr w:type="spellStart"/>
            <w:r w:rsidRPr="001840E6">
              <w:lastRenderedPageBreak/>
              <w:t>Accompagner</w:t>
            </w:r>
            <w:proofErr w:type="spellEnd"/>
            <w:r w:rsidRPr="001840E6">
              <w:t xml:space="preserve"> 04 </w:t>
            </w:r>
            <w:proofErr w:type="spellStart"/>
            <w:r w:rsidRPr="001840E6">
              <w:t>organisations</w:t>
            </w:r>
            <w:proofErr w:type="spellEnd"/>
            <w:r w:rsidRPr="001840E6">
              <w:t xml:space="preserve"> </w:t>
            </w:r>
            <w:proofErr w:type="spellStart"/>
            <w:r w:rsidRPr="001840E6">
              <w:t>identitaires</w:t>
            </w:r>
            <w:proofErr w:type="spellEnd"/>
            <w:r w:rsidRPr="001840E6">
              <w:t xml:space="preserve"> dans la mise </w:t>
            </w:r>
            <w:proofErr w:type="spellStart"/>
            <w:r w:rsidRPr="001840E6">
              <w:t>en</w:t>
            </w:r>
            <w:proofErr w:type="spellEnd"/>
            <w:r w:rsidRPr="001840E6">
              <w:t xml:space="preserve"> </w:t>
            </w:r>
            <w:proofErr w:type="spellStart"/>
            <w:r w:rsidRPr="001840E6">
              <w:t>œuvre</w:t>
            </w:r>
            <w:proofErr w:type="spellEnd"/>
            <w:r w:rsidRPr="001840E6">
              <w:t xml:space="preserve"> de </w:t>
            </w:r>
            <w:proofErr w:type="spellStart"/>
            <w:r w:rsidRPr="001840E6">
              <w:t>leur</w:t>
            </w:r>
            <w:proofErr w:type="spellEnd"/>
            <w:r w:rsidRPr="001840E6">
              <w:t xml:space="preserve"> plan de </w:t>
            </w:r>
            <w:proofErr w:type="spellStart"/>
            <w:r w:rsidRPr="001840E6">
              <w:t>renforcement</w:t>
            </w:r>
            <w:proofErr w:type="spellEnd"/>
            <w:r w:rsidRPr="001840E6">
              <w:t xml:space="preserve"> de </w:t>
            </w:r>
            <w:proofErr w:type="spellStart"/>
            <w:r w:rsidRPr="001840E6">
              <w:t>capacité</w:t>
            </w:r>
            <w:proofErr w:type="spellEnd"/>
            <w:r w:rsidRPr="001840E6">
              <w:t xml:space="preserve"> </w:t>
            </w:r>
            <w:proofErr w:type="spellStart"/>
            <w:r w:rsidRPr="001840E6">
              <w:t>issu</w:t>
            </w:r>
            <w:proofErr w:type="spellEnd"/>
            <w:r w:rsidRPr="001840E6">
              <w:t xml:space="preserve"> de </w:t>
            </w:r>
            <w:proofErr w:type="spellStart"/>
            <w:r w:rsidRPr="001840E6">
              <w:t>l’évaluation</w:t>
            </w:r>
            <w:proofErr w:type="spellEnd"/>
            <w:r w:rsidRPr="001840E6">
              <w:t xml:space="preserve"> (10</w:t>
            </w:r>
            <w:r w:rsidR="00080EE0">
              <w:t xml:space="preserve"> </w:t>
            </w:r>
            <w:r w:rsidRPr="001840E6">
              <w:t>000</w:t>
            </w:r>
            <w:r>
              <w:t xml:space="preserve"> </w:t>
            </w:r>
            <w:r w:rsidRPr="001840E6">
              <w:t xml:space="preserve">euro / </w:t>
            </w:r>
            <w:proofErr w:type="spellStart"/>
            <w:r w:rsidR="00080EE0">
              <w:t>organisation</w:t>
            </w:r>
            <w:proofErr w:type="spellEnd"/>
            <w:r w:rsidR="00080EE0">
              <w:t xml:space="preserve"> /</w:t>
            </w:r>
            <w:r w:rsidRPr="001840E6">
              <w:t xml:space="preserve"> an)</w:t>
            </w:r>
          </w:p>
          <w:p w14:paraId="095F49C4" w14:textId="607CD7C7" w:rsidR="00032DCD" w:rsidRDefault="00032DCD" w:rsidP="00390EA4">
            <w:pPr>
              <w:pStyle w:val="liste1"/>
              <w:rPr>
                <w:i/>
                <w:iCs/>
              </w:rPr>
            </w:pPr>
            <w:proofErr w:type="spellStart"/>
            <w:r w:rsidRPr="001840E6">
              <w:t>Octroyer</w:t>
            </w:r>
            <w:proofErr w:type="spellEnd"/>
            <w:r w:rsidRPr="001840E6">
              <w:t xml:space="preserve"> à 16 </w:t>
            </w:r>
            <w:proofErr w:type="spellStart"/>
            <w:r w:rsidRPr="001840E6">
              <w:t>organisations</w:t>
            </w:r>
            <w:proofErr w:type="spellEnd"/>
            <w:r w:rsidRPr="001840E6">
              <w:t xml:space="preserve"> </w:t>
            </w:r>
            <w:proofErr w:type="spellStart"/>
            <w:r w:rsidRPr="001840E6">
              <w:t>identitaire</w:t>
            </w:r>
            <w:proofErr w:type="spellEnd"/>
            <w:r w:rsidRPr="001840E6">
              <w:t xml:space="preserve"> de micro-subvention (</w:t>
            </w:r>
            <w:proofErr w:type="spellStart"/>
            <w:r w:rsidRPr="001840E6">
              <w:t>une</w:t>
            </w:r>
            <w:proofErr w:type="spellEnd"/>
            <w:r w:rsidRPr="001840E6">
              <w:t xml:space="preserve"> </w:t>
            </w:r>
            <w:proofErr w:type="spellStart"/>
            <w:r w:rsidRPr="001840E6">
              <w:t>moyenne</w:t>
            </w:r>
            <w:proofErr w:type="spellEnd"/>
            <w:r w:rsidRPr="001840E6">
              <w:t xml:space="preserve"> de 10 000 euro/an/</w:t>
            </w:r>
            <w:proofErr w:type="spellStart"/>
            <w:r w:rsidRPr="001840E6">
              <w:t>organisation</w:t>
            </w:r>
            <w:proofErr w:type="spellEnd"/>
            <w:r w:rsidRPr="001840E6">
              <w:t>)</w:t>
            </w:r>
          </w:p>
          <w:p w14:paraId="279D8A0B" w14:textId="7E99C1DE" w:rsidR="00032DCD" w:rsidRDefault="00032DCD" w:rsidP="00390EA4">
            <w:pPr>
              <w:pStyle w:val="liste1"/>
              <w:rPr>
                <w:i/>
                <w:iCs/>
              </w:rPr>
            </w:pPr>
            <w:proofErr w:type="spellStart"/>
            <w:r w:rsidRPr="00F51F9F">
              <w:t>Organiser</w:t>
            </w:r>
            <w:proofErr w:type="spellEnd"/>
            <w:r w:rsidRPr="00F51F9F">
              <w:t xml:space="preserve"> </w:t>
            </w:r>
            <w:proofErr w:type="spellStart"/>
            <w:r w:rsidRPr="00F51F9F">
              <w:t>une</w:t>
            </w:r>
            <w:proofErr w:type="spellEnd"/>
            <w:r w:rsidRPr="00F51F9F">
              <w:t xml:space="preserve"> session </w:t>
            </w:r>
            <w:proofErr w:type="spellStart"/>
            <w:r w:rsidRPr="00F51F9F">
              <w:t>d'orientation</w:t>
            </w:r>
            <w:proofErr w:type="spellEnd"/>
            <w:r w:rsidRPr="00F51F9F">
              <w:t xml:space="preserve"> des </w:t>
            </w:r>
            <w:proofErr w:type="spellStart"/>
            <w:r w:rsidRPr="00F51F9F">
              <w:t>responsables</w:t>
            </w:r>
            <w:proofErr w:type="spellEnd"/>
            <w:r w:rsidRPr="00F51F9F">
              <w:t xml:space="preserve"> </w:t>
            </w:r>
            <w:proofErr w:type="spellStart"/>
            <w:r w:rsidRPr="00F51F9F">
              <w:t>d'organisation</w:t>
            </w:r>
            <w:proofErr w:type="spellEnd"/>
            <w:r w:rsidRPr="00F51F9F">
              <w:t xml:space="preserve"> </w:t>
            </w:r>
            <w:proofErr w:type="spellStart"/>
            <w:r w:rsidRPr="00F51F9F">
              <w:t>identitaires</w:t>
            </w:r>
            <w:proofErr w:type="spellEnd"/>
            <w:r w:rsidRPr="00F51F9F">
              <w:t xml:space="preserve"> (Directeur </w:t>
            </w:r>
            <w:proofErr w:type="spellStart"/>
            <w:r w:rsidRPr="00F51F9F">
              <w:t>exécutif</w:t>
            </w:r>
            <w:proofErr w:type="spellEnd"/>
            <w:r w:rsidRPr="00F51F9F">
              <w:t xml:space="preserve"> et </w:t>
            </w:r>
            <w:proofErr w:type="spellStart"/>
            <w:r w:rsidRPr="00F51F9F">
              <w:t>coordonnateur</w:t>
            </w:r>
            <w:proofErr w:type="spellEnd"/>
            <w:r w:rsidRPr="00F51F9F">
              <w:t xml:space="preserve">) aux techniques de </w:t>
            </w:r>
            <w:proofErr w:type="spellStart"/>
            <w:r w:rsidRPr="00F51F9F">
              <w:t>rédaction</w:t>
            </w:r>
            <w:proofErr w:type="spellEnd"/>
            <w:r w:rsidRPr="00F51F9F">
              <w:t xml:space="preserve"> de rapport de </w:t>
            </w:r>
            <w:proofErr w:type="spellStart"/>
            <w:r w:rsidRPr="00F51F9F">
              <w:t>projet</w:t>
            </w:r>
            <w:proofErr w:type="spellEnd"/>
          </w:p>
          <w:p w14:paraId="6C3AFDF9" w14:textId="248F7863" w:rsidR="007265A3" w:rsidRPr="00750CA9" w:rsidRDefault="00032DCD" w:rsidP="007265A3">
            <w:pPr>
              <w:pStyle w:val="liste1"/>
              <w:rPr>
                <w:lang w:val="fr-FR"/>
              </w:rPr>
            </w:pPr>
            <w:proofErr w:type="spellStart"/>
            <w:r w:rsidRPr="00F51F9F">
              <w:t>Produire</w:t>
            </w:r>
            <w:proofErr w:type="spellEnd"/>
            <w:r w:rsidRPr="00F51F9F">
              <w:t xml:space="preserve"> et diffuser le rapport </w:t>
            </w:r>
            <w:proofErr w:type="spellStart"/>
            <w:r w:rsidRPr="00F51F9F">
              <w:t>annuel</w:t>
            </w:r>
            <w:proofErr w:type="spellEnd"/>
            <w:r w:rsidRPr="00F51F9F">
              <w:t xml:space="preserve"> du </w:t>
            </w:r>
            <w:proofErr w:type="spellStart"/>
            <w:r w:rsidRPr="00F51F9F">
              <w:t>réseau</w:t>
            </w:r>
            <w:proofErr w:type="spellEnd"/>
            <w:r w:rsidRPr="00F51F9F">
              <w:t xml:space="preserve"> des </w:t>
            </w:r>
            <w:proofErr w:type="spellStart"/>
            <w:r w:rsidRPr="00F51F9F">
              <w:t>organisations</w:t>
            </w:r>
            <w:proofErr w:type="spellEnd"/>
            <w:r w:rsidRPr="00F51F9F">
              <w:t xml:space="preserve"> des populations </w:t>
            </w:r>
            <w:proofErr w:type="spellStart"/>
            <w:r w:rsidRPr="00F51F9F">
              <w:t>clés</w:t>
            </w:r>
            <w:proofErr w:type="spellEnd"/>
            <w:r w:rsidRPr="00F51F9F">
              <w:t xml:space="preserve"> de Cote d'Ivoire</w:t>
            </w:r>
          </w:p>
          <w:p w14:paraId="78914807" w14:textId="47E41B4A" w:rsidR="00AB286C" w:rsidRPr="00C21C56" w:rsidRDefault="00AB286C" w:rsidP="00AB286C">
            <w:pPr>
              <w:autoSpaceDE w:val="0"/>
              <w:autoSpaceDN w:val="0"/>
              <w:adjustRightInd w:val="0"/>
              <w:spacing w:after="0" w:line="240" w:lineRule="auto"/>
              <w:rPr>
                <w:b/>
                <w:bCs/>
                <w:iCs/>
                <w:color w:val="0070C0"/>
                <w:sz w:val="22"/>
                <w:szCs w:val="22"/>
              </w:rPr>
            </w:pPr>
            <w:r w:rsidRPr="00AB286C">
              <w:rPr>
                <w:b/>
                <w:bCs/>
                <w:iCs/>
                <w:sz w:val="22"/>
                <w:szCs w:val="22"/>
              </w:rPr>
              <w:t xml:space="preserve">Cf. </w:t>
            </w:r>
            <w:proofErr w:type="spellStart"/>
            <w:r w:rsidRPr="00AB286C">
              <w:rPr>
                <w:b/>
                <w:bCs/>
                <w:iCs/>
                <w:sz w:val="22"/>
                <w:szCs w:val="22"/>
              </w:rPr>
              <w:t>cartographie</w:t>
            </w:r>
            <w:proofErr w:type="spellEnd"/>
            <w:r w:rsidRPr="00AB286C">
              <w:rPr>
                <w:b/>
                <w:bCs/>
                <w:iCs/>
                <w:sz w:val="22"/>
                <w:szCs w:val="22"/>
              </w:rPr>
              <w:t xml:space="preserve"> de </w:t>
            </w:r>
            <w:r>
              <w:rPr>
                <w:b/>
                <w:bCs/>
                <w:iCs/>
                <w:sz w:val="22"/>
                <w:szCs w:val="22"/>
              </w:rPr>
              <w:t xml:space="preserve">la </w:t>
            </w:r>
            <w:proofErr w:type="spellStart"/>
            <w:r>
              <w:rPr>
                <w:b/>
                <w:bCs/>
                <w:iCs/>
                <w:sz w:val="22"/>
                <w:szCs w:val="22"/>
              </w:rPr>
              <w:t>complémentarité</w:t>
            </w:r>
            <w:proofErr w:type="spellEnd"/>
            <w:r w:rsidRPr="00AB286C">
              <w:rPr>
                <w:b/>
                <w:bCs/>
                <w:iCs/>
                <w:sz w:val="22"/>
                <w:szCs w:val="22"/>
              </w:rPr>
              <w:t xml:space="preserve"> PEPFAR et FM </w:t>
            </w:r>
            <w:r w:rsidR="00080EE0" w:rsidRPr="00080EE0">
              <w:rPr>
                <w:i/>
                <w:iCs/>
                <w:sz w:val="22"/>
                <w:szCs w:val="22"/>
                <w:lang w:val="fr-FR"/>
              </w:rPr>
              <w:t>(</w:t>
            </w:r>
            <w:proofErr w:type="spellStart"/>
            <w:r w:rsidR="00080EE0" w:rsidRPr="00080EE0">
              <w:rPr>
                <w:i/>
                <w:sz w:val="22"/>
                <w:szCs w:val="22"/>
              </w:rPr>
              <w:t>Annexe</w:t>
            </w:r>
            <w:proofErr w:type="spellEnd"/>
            <w:r w:rsidR="00080EE0" w:rsidRPr="00080EE0">
              <w:rPr>
                <w:i/>
                <w:sz w:val="22"/>
                <w:szCs w:val="22"/>
              </w:rPr>
              <w:t xml:space="preserve"> 2</w:t>
            </w:r>
            <w:r w:rsidR="00080EE0">
              <w:rPr>
                <w:i/>
                <w:sz w:val="22"/>
                <w:szCs w:val="22"/>
              </w:rPr>
              <w:t>7</w:t>
            </w:r>
            <w:r w:rsidR="00080EE0" w:rsidRPr="00080EE0">
              <w:rPr>
                <w:i/>
                <w:sz w:val="22"/>
                <w:szCs w:val="22"/>
              </w:rPr>
              <w:t>)</w:t>
            </w:r>
            <w:r w:rsidR="00080EE0" w:rsidRPr="00750CA9">
              <w:rPr>
                <w:lang w:val="fr-FR"/>
              </w:rPr>
              <w:t> </w:t>
            </w:r>
          </w:p>
          <w:p w14:paraId="0C0546A1" w14:textId="066F580B" w:rsidR="007B41DA" w:rsidRPr="00750CA9" w:rsidRDefault="007B41DA" w:rsidP="00390EA4">
            <w:pPr>
              <w:pStyle w:val="Texteformulaire"/>
              <w:rPr>
                <w:lang w:val="fr-FR"/>
              </w:rPr>
            </w:pPr>
          </w:p>
        </w:tc>
      </w:tr>
      <w:tr w:rsidR="007B41DA" w:rsidRPr="00F00BB3" w14:paraId="3BE6678B" w14:textId="77777777" w:rsidTr="007A0F0B">
        <w:trPr>
          <w:trHeight w:val="288"/>
        </w:trPr>
        <w:tc>
          <w:tcPr>
            <w:tcW w:w="608" w:type="pct"/>
            <w:shd w:val="clear" w:color="auto" w:fill="F2F2F2"/>
            <w:vAlign w:val="center"/>
          </w:tcPr>
          <w:p w14:paraId="7D631626" w14:textId="77777777" w:rsidR="007B41DA" w:rsidRPr="00D723C9" w:rsidRDefault="007B41DA" w:rsidP="00E80CEF">
            <w:pPr>
              <w:spacing w:after="0"/>
              <w:rPr>
                <w:rFonts w:cs="Arial"/>
                <w:b/>
              </w:rPr>
            </w:pPr>
            <w:r w:rsidRPr="00D723C9">
              <w:rPr>
                <w:rFonts w:cs="Arial"/>
                <w:b/>
                <w:lang w:bidi="fr-FR"/>
              </w:rPr>
              <w:lastRenderedPageBreak/>
              <w:t xml:space="preserve">Populations </w:t>
            </w:r>
            <w:proofErr w:type="spellStart"/>
            <w:r w:rsidRPr="00D723C9">
              <w:rPr>
                <w:rFonts w:cs="Arial"/>
                <w:b/>
                <w:lang w:bidi="fr-FR"/>
              </w:rPr>
              <w:t>prioritaires</w:t>
            </w:r>
            <w:proofErr w:type="spellEnd"/>
          </w:p>
        </w:tc>
        <w:tc>
          <w:tcPr>
            <w:tcW w:w="4392" w:type="pct"/>
          </w:tcPr>
          <w:p w14:paraId="5D55B3FA" w14:textId="43F326CD" w:rsidR="007B41DA" w:rsidRPr="00750CA9" w:rsidRDefault="007B41DA" w:rsidP="00390EA4">
            <w:pPr>
              <w:pStyle w:val="Texteformulaire"/>
              <w:rPr>
                <w:lang w:val="fr-FR"/>
              </w:rPr>
            </w:pPr>
            <w:r w:rsidRPr="00750CA9">
              <w:rPr>
                <w:lang w:val="fr-FR"/>
              </w:rPr>
              <w:t>Les interventions du mécanisme permettent de mettre en exergue la vulnérabilité des groupes tels que les populations clés, les personnes vivant avec le VIH.</w:t>
            </w:r>
          </w:p>
        </w:tc>
      </w:tr>
      <w:tr w:rsidR="007B41DA" w:rsidRPr="0037522B" w14:paraId="6C88A0A0" w14:textId="77777777" w:rsidTr="007A0F0B">
        <w:trPr>
          <w:trHeight w:val="288"/>
        </w:trPr>
        <w:tc>
          <w:tcPr>
            <w:tcW w:w="608" w:type="pct"/>
            <w:shd w:val="clear" w:color="auto" w:fill="F2F2F2"/>
            <w:vAlign w:val="center"/>
          </w:tcPr>
          <w:p w14:paraId="111F24A7" w14:textId="77777777" w:rsidR="007B41DA" w:rsidRPr="00D723C9" w:rsidRDefault="007B41DA" w:rsidP="00E80CEF">
            <w:pPr>
              <w:spacing w:after="0"/>
              <w:rPr>
                <w:rFonts w:cs="Arial"/>
                <w:b/>
              </w:rPr>
            </w:pPr>
            <w:r w:rsidRPr="00D723C9">
              <w:rPr>
                <w:rFonts w:cs="Arial"/>
                <w:b/>
                <w:lang w:bidi="fr-FR"/>
              </w:rPr>
              <w:t xml:space="preserve">Obstacles et </w:t>
            </w:r>
            <w:proofErr w:type="spellStart"/>
            <w:r w:rsidRPr="00D723C9">
              <w:rPr>
                <w:rFonts w:cs="Arial"/>
                <w:b/>
                <w:lang w:bidi="fr-FR"/>
              </w:rPr>
              <w:t>inégalités</w:t>
            </w:r>
            <w:proofErr w:type="spellEnd"/>
          </w:p>
        </w:tc>
        <w:tc>
          <w:tcPr>
            <w:tcW w:w="4392" w:type="pct"/>
          </w:tcPr>
          <w:p w14:paraId="537938E6" w14:textId="3A21BD43" w:rsidR="007B41DA" w:rsidRPr="00750CA9" w:rsidRDefault="007B41DA" w:rsidP="00390EA4">
            <w:pPr>
              <w:pStyle w:val="Texteformulaire"/>
              <w:rPr>
                <w:lang w:val="fr-FR"/>
              </w:rPr>
            </w:pPr>
            <w:r w:rsidRPr="00750CA9">
              <w:rPr>
                <w:lang w:val="fr-FR"/>
              </w:rPr>
              <w:t>Les inégalités de genre constituent l’un des obstacles important</w:t>
            </w:r>
            <w:r w:rsidR="00F76CDE" w:rsidRPr="00750CA9">
              <w:rPr>
                <w:lang w:val="fr-FR"/>
              </w:rPr>
              <w:t>s</w:t>
            </w:r>
            <w:r w:rsidRPr="00750CA9">
              <w:rPr>
                <w:lang w:val="fr-FR"/>
              </w:rPr>
              <w:t xml:space="preserve"> qui limite la capacité à consulter, en particulier pour les femmes et les filles. Des attitudes, croyances et pratiques traditionnelles limitent la possibilité pour celles-ci d’accéder aux services anti-VIH puis de rester dans le système de soins, ce qui accroît la vulnérabilité de cette population en regard de l’infection. </w:t>
            </w:r>
          </w:p>
        </w:tc>
      </w:tr>
      <w:tr w:rsidR="007B41DA" w:rsidRPr="0037522B" w14:paraId="472E3856" w14:textId="77777777" w:rsidTr="007A0F0B">
        <w:trPr>
          <w:trHeight w:val="288"/>
        </w:trPr>
        <w:tc>
          <w:tcPr>
            <w:tcW w:w="608" w:type="pct"/>
            <w:shd w:val="clear" w:color="auto" w:fill="F2F2F2"/>
            <w:vAlign w:val="center"/>
          </w:tcPr>
          <w:p w14:paraId="5087087E" w14:textId="77777777" w:rsidR="007B41DA" w:rsidRPr="00D723C9" w:rsidRDefault="007B41DA" w:rsidP="00E80CEF">
            <w:pPr>
              <w:spacing w:after="0"/>
              <w:rPr>
                <w:rFonts w:cs="Arial"/>
                <w:b/>
              </w:rPr>
            </w:pPr>
            <w:r w:rsidRPr="00D723C9">
              <w:rPr>
                <w:rFonts w:cs="Arial"/>
                <w:b/>
                <w:lang w:bidi="fr-FR"/>
              </w:rPr>
              <w:t>Justification</w:t>
            </w:r>
            <w:r w:rsidRPr="00D723C9">
              <w:rPr>
                <w:rFonts w:cs="Arial"/>
                <w:b/>
                <w:lang w:bidi="fr-FR"/>
              </w:rPr>
              <w:tab/>
            </w:r>
          </w:p>
        </w:tc>
        <w:tc>
          <w:tcPr>
            <w:tcW w:w="4392" w:type="pct"/>
          </w:tcPr>
          <w:p w14:paraId="675DB90A" w14:textId="77777777" w:rsidR="007B41DA" w:rsidRPr="00750CA9" w:rsidRDefault="007B41DA" w:rsidP="00390EA4">
            <w:pPr>
              <w:pStyle w:val="Texteformulaire"/>
              <w:rPr>
                <w:lang w:val="fr-FR"/>
              </w:rPr>
            </w:pPr>
            <w:r w:rsidRPr="00750CA9">
              <w:rPr>
                <w:lang w:val="fr-FR"/>
              </w:rPr>
              <w:t>La Côte d’Ivoire qui est signataire de ces conventions et initiatives internationales, à l’instar des autres pays africains, a perçu la nécessité de la participation communautaire pour soutenir la mise en œuvre de l’action sanitaire. D’</w:t>
            </w:r>
            <w:proofErr w:type="spellStart"/>
            <w:r w:rsidRPr="00750CA9">
              <w:rPr>
                <w:lang w:val="fr-FR"/>
              </w:rPr>
              <w:t>ou</w:t>
            </w:r>
            <w:proofErr w:type="spellEnd"/>
            <w:r w:rsidRPr="00750CA9">
              <w:rPr>
                <w:lang w:val="fr-FR"/>
              </w:rPr>
              <w:t xml:space="preserve">̀ le choix de promouvoir le développement de la participation communautaire dans la mise en œuvre des programmes de santé dans une perspective de développement de l’autopromotion sanitaire et sociale. En Côte d’Ivoire, les principaux déterminants contribuant </w:t>
            </w:r>
            <w:proofErr w:type="spellStart"/>
            <w:r w:rsidRPr="00750CA9">
              <w:rPr>
                <w:lang w:val="fr-FR"/>
              </w:rPr>
              <w:t>a</w:t>
            </w:r>
            <w:proofErr w:type="spellEnd"/>
            <w:r w:rsidRPr="00750CA9">
              <w:rPr>
                <w:lang w:val="fr-FR"/>
              </w:rPr>
              <w:t>̀ la situation socio-sanitaire se caractérisent par leur faiblesse en général. Il s’agit entre autres de : i) la faible couverture sanitaire, ii) la faible disponibilité des services dans les formations sanitaires, iii) la faible accessibilité́ géographique des formations sanitaires par les populations, iv) la faible participation des communautés à la résolution de leurs problèmes de santé</w:t>
            </w:r>
          </w:p>
          <w:p w14:paraId="1190AAB9" w14:textId="77777777" w:rsidR="007B41DA" w:rsidRPr="00750CA9" w:rsidRDefault="007B41DA" w:rsidP="00390EA4">
            <w:pPr>
              <w:pStyle w:val="Texteformulaire"/>
              <w:rPr>
                <w:lang w:val="fr-FR"/>
              </w:rPr>
            </w:pPr>
            <w:r w:rsidRPr="00750CA9">
              <w:rPr>
                <w:lang w:val="fr-FR"/>
              </w:rPr>
              <w:t>L’amélioration de la qualité des soins et des services apparait de plus en plus comme un levier incontournable du renforcement des systèmes de santé. C’est un mode de gestion transversal qui s’applique à tous les piliers du système de santé. Il permet de surmonter les défis à relever pour atteindre les objectifs fixés.</w:t>
            </w:r>
          </w:p>
          <w:p w14:paraId="75F238DF" w14:textId="77777777" w:rsidR="007B41DA" w:rsidRPr="00750CA9" w:rsidRDefault="007B41DA" w:rsidP="00390EA4">
            <w:pPr>
              <w:pStyle w:val="Texteformulaire"/>
              <w:rPr>
                <w:lang w:val="fr-FR"/>
              </w:rPr>
            </w:pPr>
            <w:r w:rsidRPr="00750CA9">
              <w:rPr>
                <w:lang w:val="fr-FR"/>
              </w:rPr>
              <w:t>Dans le cadre du NFM3, en plus des actions déjà menées durant le NFM2 au sein des structures sanitaires publiques, le mécanisme de surveillance communautaire à travers les différents dispositifs que sont l’observatoire de la plateforme et celui de ITOCWA   s’attèleront à la collecte des données liées à la qualité, hygiène et sécurité des soins offerts aux patients (VIH-TB-palu). Un accent particulier sera mis sur la pharmaco vigilance des produits de santé (</w:t>
            </w:r>
            <w:proofErr w:type="spellStart"/>
            <w:r w:rsidRPr="00750CA9">
              <w:rPr>
                <w:lang w:val="fr-FR"/>
              </w:rPr>
              <w:t>vih</w:t>
            </w:r>
            <w:proofErr w:type="spellEnd"/>
            <w:r w:rsidRPr="00750CA9">
              <w:rPr>
                <w:lang w:val="fr-FR"/>
              </w:rPr>
              <w:t>-tb-palu). Les données feront l’objet d’analyse, des pistes de plaidoyer seront ainsi dégagées dans l’optique d’une amélioration des prestations. Les actions de plaidoyers seront portées par les réseaux membres de la plateforme.</w:t>
            </w:r>
          </w:p>
          <w:p w14:paraId="126BA88F" w14:textId="4CEECDB1" w:rsidR="007B41DA" w:rsidRPr="00750CA9" w:rsidRDefault="007B41DA" w:rsidP="00390EA4">
            <w:pPr>
              <w:pStyle w:val="Texteformulaire"/>
              <w:rPr>
                <w:lang w:val="fr-FR"/>
              </w:rPr>
            </w:pPr>
            <w:r w:rsidRPr="00750CA9">
              <w:rPr>
                <w:lang w:val="fr-FR"/>
              </w:rPr>
              <w:t>Le droit à la santé est établi dans certains dispositifs internationaux ratifiés par la C</w:t>
            </w:r>
            <w:r w:rsidR="00080EE0">
              <w:rPr>
                <w:lang w:val="fr-FR"/>
              </w:rPr>
              <w:t>ô</w:t>
            </w:r>
            <w:r w:rsidRPr="00750CA9">
              <w:rPr>
                <w:lang w:val="fr-FR"/>
              </w:rPr>
              <w:t>te d’Ivoire notamment dans la Déclaration Universelle des Droits de l'homme et le Pacte international relatif aux droits économiques, sociaux et culturels.</w:t>
            </w:r>
            <w:r w:rsidR="00E72346" w:rsidRPr="00750CA9">
              <w:rPr>
                <w:lang w:val="fr-FR"/>
              </w:rPr>
              <w:t xml:space="preserve"> </w:t>
            </w:r>
            <w:r w:rsidRPr="00750CA9">
              <w:rPr>
                <w:lang w:val="fr-FR"/>
              </w:rPr>
              <w:t>Toutefois l'accès universel à des services de santé de qualité n'est pas encore atteint en Côte d’Ivoire comme dans la plupart des pays en développement. Cet état de fait affecte les personnes vulnérables de façon générale et les PVVIH en particulier. En effet, dans la lutte contre la pandémie du VIH, les p</w:t>
            </w:r>
            <w:r w:rsidR="00080EE0">
              <w:rPr>
                <w:lang w:val="fr-FR"/>
              </w:rPr>
              <w:t xml:space="preserve">ersonnes atteintes </w:t>
            </w:r>
            <w:r w:rsidRPr="00750CA9">
              <w:rPr>
                <w:lang w:val="fr-FR"/>
              </w:rPr>
              <w:t>sont doublement vulnérables</w:t>
            </w:r>
            <w:r w:rsidR="00080EE0">
              <w:rPr>
                <w:lang w:val="fr-FR"/>
              </w:rPr>
              <w:t xml:space="preserve">, </w:t>
            </w:r>
            <w:r w:rsidRPr="00750CA9">
              <w:rPr>
                <w:lang w:val="fr-FR"/>
              </w:rPr>
              <w:t>du fait de la maladie et de l’environnement souvent défavorable aussi bien au niveau des services de santé qu</w:t>
            </w:r>
            <w:r w:rsidR="00080EE0">
              <w:rPr>
                <w:lang w:val="fr-FR"/>
              </w:rPr>
              <w:t>e dans l</w:t>
            </w:r>
            <w:r w:rsidRPr="00750CA9">
              <w:rPr>
                <w:lang w:val="fr-FR"/>
              </w:rPr>
              <w:t xml:space="preserve">es communautés. On peut relever entre autres le caractère acceptable, accessible, abordable, disponible et qualitatif des services, ainsi que la satisfaction des clients. Sans toutefois occulter   les cas de stigmatisation, discrimination, coercition, </w:t>
            </w:r>
            <w:r w:rsidRPr="00750CA9">
              <w:rPr>
                <w:lang w:val="fr-FR"/>
              </w:rPr>
              <w:lastRenderedPageBreak/>
              <w:t xml:space="preserve">chantage et violences dont souffrent ces populations dans le cadre de leur prise en charge. Ainsi, étant entendu que les OSC jouent un rôle important dans les activités de redevabilité sociale, l'élévation des voix des populations affectées, ainsi que l'amélioration du suivi et de la transparence, les OSC de lutte contre </w:t>
            </w:r>
            <w:proofErr w:type="spellStart"/>
            <w:r w:rsidRPr="00750CA9">
              <w:rPr>
                <w:lang w:val="fr-FR"/>
              </w:rPr>
              <w:t>contre</w:t>
            </w:r>
            <w:proofErr w:type="spellEnd"/>
            <w:r w:rsidRPr="00750CA9">
              <w:rPr>
                <w:lang w:val="fr-FR"/>
              </w:rPr>
              <w:t xml:space="preserve"> le VIH interviendront dans le Mécanisme de surveillance Communautaire. Ce mécanisme intégrera tous les modèles de suivi communautaire (Observatoires communautaires, système d’alerte, plateformes de retro-information des OSC…</w:t>
            </w:r>
            <w:proofErr w:type="spellStart"/>
            <w:r w:rsidRPr="00750CA9">
              <w:rPr>
                <w:lang w:val="fr-FR"/>
              </w:rPr>
              <w:t>etc</w:t>
            </w:r>
            <w:proofErr w:type="spellEnd"/>
            <w:r w:rsidRPr="00750CA9">
              <w:rPr>
                <w:lang w:val="fr-FR"/>
              </w:rPr>
              <w:t>).</w:t>
            </w:r>
          </w:p>
        </w:tc>
      </w:tr>
      <w:tr w:rsidR="007361D6" w:rsidRPr="0037522B" w14:paraId="1B9A8B15" w14:textId="77777777" w:rsidTr="007A0F0B">
        <w:trPr>
          <w:trHeight w:val="288"/>
        </w:trPr>
        <w:tc>
          <w:tcPr>
            <w:tcW w:w="608" w:type="pct"/>
            <w:shd w:val="clear" w:color="auto" w:fill="F2F2F2"/>
            <w:vAlign w:val="center"/>
          </w:tcPr>
          <w:p w14:paraId="53341288" w14:textId="77777777" w:rsidR="007361D6" w:rsidRPr="00D723C9" w:rsidRDefault="007361D6" w:rsidP="00E80CEF">
            <w:pPr>
              <w:spacing w:after="0"/>
              <w:rPr>
                <w:rFonts w:cs="Arial"/>
                <w:b/>
              </w:rPr>
            </w:pPr>
            <w:proofErr w:type="spellStart"/>
            <w:r w:rsidRPr="00D723C9">
              <w:rPr>
                <w:rFonts w:cs="Arial"/>
                <w:b/>
                <w:lang w:bidi="fr-FR"/>
              </w:rPr>
              <w:lastRenderedPageBreak/>
              <w:t>Résultats</w:t>
            </w:r>
            <w:proofErr w:type="spellEnd"/>
            <w:r w:rsidRPr="00D723C9">
              <w:rPr>
                <w:rFonts w:cs="Arial"/>
                <w:b/>
                <w:lang w:bidi="fr-FR"/>
              </w:rPr>
              <w:t xml:space="preserve"> </w:t>
            </w:r>
            <w:proofErr w:type="spellStart"/>
            <w:r w:rsidRPr="00D723C9">
              <w:rPr>
                <w:rFonts w:cs="Arial"/>
                <w:b/>
                <w:lang w:bidi="fr-FR"/>
              </w:rPr>
              <w:t>attendus</w:t>
            </w:r>
            <w:proofErr w:type="spellEnd"/>
          </w:p>
        </w:tc>
        <w:tc>
          <w:tcPr>
            <w:tcW w:w="4392" w:type="pct"/>
          </w:tcPr>
          <w:p w14:paraId="0FB7DCB3" w14:textId="34557CEB" w:rsidR="007361D6" w:rsidRPr="00750CA9" w:rsidRDefault="007361D6" w:rsidP="00390EA4">
            <w:pPr>
              <w:pStyle w:val="Texteformulaire"/>
              <w:rPr>
                <w:lang w:val="fr-FR"/>
              </w:rPr>
            </w:pPr>
            <w:r w:rsidRPr="00750CA9">
              <w:rPr>
                <w:rStyle w:val="IntenseEmphasis"/>
                <w:b w:val="0"/>
                <w:i w:val="0"/>
                <w:lang w:val="fr-FR"/>
              </w:rPr>
              <w:t xml:space="preserve">La participation communautaire est renforcée </w:t>
            </w:r>
            <w:r w:rsidRPr="00750CA9">
              <w:rPr>
                <w:lang w:val="fr-FR"/>
              </w:rPr>
              <w:t>dans la mise en œuvre des programmes de santé</w:t>
            </w:r>
            <w:r w:rsidR="00A94DE8" w:rsidRPr="00750CA9">
              <w:rPr>
                <w:lang w:val="fr-FR"/>
              </w:rPr>
              <w:t xml:space="preserve"> et permet la </w:t>
            </w:r>
            <w:r w:rsidR="00A94DE8" w:rsidRPr="00750CA9">
              <w:rPr>
                <w:rStyle w:val="IntenseEmphasis"/>
                <w:b w:val="0"/>
                <w:i w:val="0"/>
                <w:lang w:val="fr-FR"/>
              </w:rPr>
              <w:t xml:space="preserve">redevabilité et la </w:t>
            </w:r>
            <w:r w:rsidRPr="00750CA9">
              <w:rPr>
                <w:rStyle w:val="IntenseEmphasis"/>
                <w:b w:val="0"/>
                <w:i w:val="0"/>
                <w:lang w:val="fr-FR"/>
              </w:rPr>
              <w:t>durabilité</w:t>
            </w:r>
            <w:r w:rsidR="00A94DE8" w:rsidRPr="00750CA9">
              <w:rPr>
                <w:rStyle w:val="IntenseEmphasis"/>
                <w:b w:val="0"/>
                <w:i w:val="0"/>
                <w:lang w:val="fr-FR"/>
              </w:rPr>
              <w:t xml:space="preserve"> de sa contribution</w:t>
            </w:r>
            <w:r w:rsidR="003A71A0">
              <w:rPr>
                <w:rStyle w:val="IntenseEmphasis"/>
                <w:b w:val="0"/>
                <w:i w:val="0"/>
                <w:lang w:val="fr-FR"/>
              </w:rPr>
              <w:t>.</w:t>
            </w:r>
          </w:p>
        </w:tc>
      </w:tr>
      <w:tr w:rsidR="007361D6" w:rsidRPr="009D0206" w14:paraId="2FC002A1" w14:textId="77777777" w:rsidTr="007A0F0B">
        <w:trPr>
          <w:trHeight w:val="288"/>
        </w:trPr>
        <w:tc>
          <w:tcPr>
            <w:tcW w:w="608" w:type="pct"/>
            <w:shd w:val="clear" w:color="auto" w:fill="F2F2F2"/>
            <w:vAlign w:val="center"/>
          </w:tcPr>
          <w:p w14:paraId="12D6661F" w14:textId="56E61F8F" w:rsidR="007361D6" w:rsidRPr="00D723C9" w:rsidRDefault="007361D6" w:rsidP="00E80CEF">
            <w:pPr>
              <w:spacing w:after="0"/>
              <w:rPr>
                <w:rFonts w:cs="Arial"/>
                <w:b/>
              </w:rPr>
            </w:pPr>
            <w:proofErr w:type="spellStart"/>
            <w:r w:rsidRPr="00D723C9">
              <w:rPr>
                <w:rFonts w:cs="Arial"/>
                <w:b/>
                <w:lang w:bidi="fr-FR"/>
              </w:rPr>
              <w:t>Investissement</w:t>
            </w:r>
            <w:proofErr w:type="spellEnd"/>
            <w:r w:rsidRPr="00D723C9">
              <w:rPr>
                <w:rFonts w:cs="Arial"/>
                <w:b/>
                <w:lang w:bidi="fr-FR"/>
              </w:rPr>
              <w:t xml:space="preserve"> </w:t>
            </w:r>
            <w:proofErr w:type="spellStart"/>
            <w:r w:rsidRPr="00D723C9">
              <w:rPr>
                <w:rFonts w:cs="Arial"/>
                <w:b/>
                <w:lang w:bidi="fr-FR"/>
              </w:rPr>
              <w:t>attendu</w:t>
            </w:r>
            <w:proofErr w:type="spellEnd"/>
          </w:p>
        </w:tc>
        <w:tc>
          <w:tcPr>
            <w:tcW w:w="4392" w:type="pct"/>
          </w:tcPr>
          <w:p w14:paraId="46185D4C" w14:textId="53B87F59" w:rsidR="007361D6" w:rsidRPr="00DB293F" w:rsidRDefault="0044115C" w:rsidP="00DB293F">
            <w:pPr>
              <w:pStyle w:val="Texteformulaire"/>
              <w:rPr>
                <w:b/>
                <w:bCs/>
              </w:rPr>
            </w:pPr>
            <w:r w:rsidRPr="002D0EC2">
              <w:rPr>
                <w:b/>
                <w:bCs/>
                <w:color w:val="FF0000"/>
              </w:rPr>
              <w:t>1</w:t>
            </w:r>
            <w:r w:rsidR="00DB293F" w:rsidRPr="002D0EC2">
              <w:rPr>
                <w:b/>
                <w:bCs/>
                <w:color w:val="FF0000"/>
              </w:rPr>
              <w:t xml:space="preserve"> </w:t>
            </w:r>
            <w:r w:rsidRPr="002D0EC2">
              <w:rPr>
                <w:b/>
                <w:bCs/>
                <w:color w:val="FF0000"/>
              </w:rPr>
              <w:t>202</w:t>
            </w:r>
            <w:r w:rsidR="00DB293F" w:rsidRPr="002D0EC2">
              <w:rPr>
                <w:b/>
                <w:bCs/>
                <w:color w:val="FF0000"/>
              </w:rPr>
              <w:t> 9</w:t>
            </w:r>
            <w:r w:rsidRPr="002D0EC2">
              <w:rPr>
                <w:b/>
                <w:bCs/>
                <w:color w:val="FF0000"/>
              </w:rPr>
              <w:t>33</w:t>
            </w:r>
            <w:r w:rsidR="00DB293F" w:rsidRPr="002D0EC2">
              <w:rPr>
                <w:b/>
                <w:bCs/>
                <w:color w:val="FF0000"/>
              </w:rPr>
              <w:t xml:space="preserve"> euros (</w:t>
            </w:r>
            <w:r w:rsidRPr="002D0EC2">
              <w:rPr>
                <w:b/>
                <w:bCs/>
                <w:color w:val="FF0000"/>
              </w:rPr>
              <w:t>1</w:t>
            </w:r>
            <w:r w:rsidR="00DB293F" w:rsidRPr="002D0EC2">
              <w:rPr>
                <w:b/>
                <w:bCs/>
                <w:color w:val="FF0000"/>
              </w:rPr>
              <w:t>%)</w:t>
            </w:r>
          </w:p>
        </w:tc>
      </w:tr>
    </w:tbl>
    <w:p w14:paraId="05F4D885" w14:textId="77777777" w:rsidR="007B41DA" w:rsidRPr="00E80CEF" w:rsidRDefault="007B41DA" w:rsidP="009B6C0D">
      <w:pPr>
        <w:spacing w:after="0"/>
      </w:pPr>
    </w:p>
    <w:tbl>
      <w:tblPr>
        <w:tblStyle w:val="TableGrid30"/>
        <w:tblW w:w="5000" w:type="pct"/>
        <w:tblLook w:val="04A0" w:firstRow="1" w:lastRow="0" w:firstColumn="1" w:lastColumn="0" w:noHBand="0" w:noVBand="1"/>
      </w:tblPr>
      <w:tblGrid>
        <w:gridCol w:w="1696"/>
        <w:gridCol w:w="8760"/>
      </w:tblGrid>
      <w:tr w:rsidR="003C10DA" w:rsidRPr="00390EA4" w14:paraId="5DD11E5D" w14:textId="77777777" w:rsidTr="00DB293F">
        <w:trPr>
          <w:trHeight w:val="404"/>
        </w:trPr>
        <w:tc>
          <w:tcPr>
            <w:tcW w:w="811" w:type="pct"/>
            <w:shd w:val="clear" w:color="auto" w:fill="F2F2F2"/>
            <w:vAlign w:val="center"/>
          </w:tcPr>
          <w:p w14:paraId="7978FE50" w14:textId="77777777" w:rsidR="003C10DA" w:rsidRPr="00390EA4" w:rsidRDefault="003C10DA" w:rsidP="00390EA4">
            <w:pPr>
              <w:spacing w:after="0"/>
              <w:rPr>
                <w:b/>
                <w:sz w:val="22"/>
                <w:szCs w:val="22"/>
              </w:rPr>
            </w:pPr>
            <w:proofErr w:type="gramStart"/>
            <w:r w:rsidRPr="00390EA4">
              <w:rPr>
                <w:b/>
                <w:sz w:val="22"/>
                <w:szCs w:val="22"/>
                <w:lang w:bidi="fr-FR"/>
              </w:rPr>
              <w:t>N</w:t>
            </w:r>
            <w:r w:rsidRPr="00390EA4">
              <w:rPr>
                <w:b/>
                <w:sz w:val="22"/>
                <w:szCs w:val="22"/>
                <w:vertAlign w:val="superscript"/>
                <w:lang w:bidi="fr-FR"/>
              </w:rPr>
              <w:t>o</w:t>
            </w:r>
            <w:proofErr w:type="gramEnd"/>
            <w:r w:rsidRPr="00390EA4">
              <w:rPr>
                <w:b/>
                <w:sz w:val="22"/>
                <w:szCs w:val="22"/>
                <w:lang w:bidi="fr-FR"/>
              </w:rPr>
              <w:t xml:space="preserve"> de module</w:t>
            </w:r>
          </w:p>
        </w:tc>
        <w:tc>
          <w:tcPr>
            <w:tcW w:w="4189" w:type="pct"/>
            <w:vAlign w:val="center"/>
          </w:tcPr>
          <w:p w14:paraId="31C1406B" w14:textId="2CA898A3" w:rsidR="003C10DA" w:rsidRPr="00390EA4" w:rsidRDefault="003C10DA" w:rsidP="00390EA4">
            <w:pPr>
              <w:spacing w:after="0"/>
              <w:rPr>
                <w:b/>
                <w:sz w:val="22"/>
                <w:szCs w:val="22"/>
              </w:rPr>
            </w:pPr>
            <w:r w:rsidRPr="00750CA9">
              <w:rPr>
                <w:b/>
                <w:sz w:val="22"/>
                <w:lang w:val="fr-FR"/>
              </w:rPr>
              <w:t xml:space="preserve">Module 9 : Système de gestion et l’information sanitaire et suivi et évaluation </w:t>
            </w:r>
          </w:p>
        </w:tc>
      </w:tr>
      <w:tr w:rsidR="003C10DA" w:rsidRPr="0037522B" w14:paraId="1CDCDD5B" w14:textId="77777777" w:rsidTr="00DB293F">
        <w:trPr>
          <w:trHeight w:val="982"/>
        </w:trPr>
        <w:tc>
          <w:tcPr>
            <w:tcW w:w="811" w:type="pct"/>
            <w:shd w:val="clear" w:color="auto" w:fill="F2F2F2"/>
            <w:vAlign w:val="center"/>
          </w:tcPr>
          <w:p w14:paraId="3A86B94A" w14:textId="77777777" w:rsidR="003C10DA" w:rsidRPr="007F7A64" w:rsidRDefault="003C10DA" w:rsidP="00E80CEF">
            <w:pPr>
              <w:spacing w:after="0"/>
              <w:rPr>
                <w:b/>
              </w:rPr>
            </w:pPr>
            <w:proofErr w:type="spellStart"/>
            <w:r w:rsidRPr="007F7A64">
              <w:rPr>
                <w:b/>
                <w:lang w:bidi="fr-FR"/>
              </w:rPr>
              <w:t>Principales</w:t>
            </w:r>
            <w:proofErr w:type="spellEnd"/>
            <w:r w:rsidRPr="007F7A64">
              <w:rPr>
                <w:b/>
                <w:lang w:bidi="fr-FR"/>
              </w:rPr>
              <w:t xml:space="preserve"> interventions et </w:t>
            </w:r>
            <w:proofErr w:type="spellStart"/>
            <w:r w:rsidRPr="007F7A64">
              <w:rPr>
                <w:b/>
                <w:lang w:bidi="fr-FR"/>
              </w:rPr>
              <w:t>activités</w:t>
            </w:r>
            <w:proofErr w:type="spellEnd"/>
          </w:p>
        </w:tc>
        <w:tc>
          <w:tcPr>
            <w:tcW w:w="4189" w:type="pct"/>
          </w:tcPr>
          <w:p w14:paraId="5D7F2E1D" w14:textId="77777777" w:rsidR="003C10DA" w:rsidRPr="00D715E3" w:rsidRDefault="003C10DA" w:rsidP="006F6940">
            <w:pPr>
              <w:pStyle w:val="NormalJBGS"/>
              <w:numPr>
                <w:ilvl w:val="0"/>
                <w:numId w:val="35"/>
              </w:numPr>
              <w:jc w:val="both"/>
              <w:rPr>
                <w:b/>
                <w:i w:val="0"/>
                <w:iCs w:val="0"/>
                <w:color w:val="auto"/>
                <w:sz w:val="22"/>
                <w:szCs w:val="22"/>
              </w:rPr>
            </w:pPr>
            <w:r w:rsidRPr="00D715E3">
              <w:rPr>
                <w:b/>
                <w:i w:val="0"/>
                <w:iCs w:val="0"/>
                <w:color w:val="auto"/>
                <w:sz w:val="22"/>
                <w:szCs w:val="22"/>
              </w:rPr>
              <w:t xml:space="preserve">Rapportage des </w:t>
            </w:r>
            <w:proofErr w:type="spellStart"/>
            <w:r w:rsidRPr="00D715E3">
              <w:rPr>
                <w:b/>
                <w:i w:val="0"/>
                <w:iCs w:val="0"/>
                <w:color w:val="auto"/>
                <w:sz w:val="22"/>
                <w:szCs w:val="22"/>
              </w:rPr>
              <w:t>données</w:t>
            </w:r>
            <w:proofErr w:type="spellEnd"/>
            <w:r w:rsidRPr="00D715E3">
              <w:rPr>
                <w:b/>
                <w:i w:val="0"/>
                <w:iCs w:val="0"/>
                <w:color w:val="auto"/>
                <w:sz w:val="22"/>
                <w:szCs w:val="22"/>
              </w:rPr>
              <w:t xml:space="preserve"> de routine</w:t>
            </w:r>
          </w:p>
          <w:p w14:paraId="07602E68" w14:textId="4DE647AB" w:rsidR="007265A3" w:rsidRDefault="003C10DA" w:rsidP="00DF6816">
            <w:pPr>
              <w:pStyle w:val="Texteformulaire"/>
              <w:rPr>
                <w:lang w:val="fr-FR"/>
              </w:rPr>
            </w:pPr>
            <w:r w:rsidRPr="00390EA4">
              <w:rPr>
                <w:lang w:val="fr-FR"/>
              </w:rPr>
              <w:t xml:space="preserve">Les interventions suivantes seront mises en </w:t>
            </w:r>
            <w:proofErr w:type="spellStart"/>
            <w:r w:rsidRPr="00390EA4">
              <w:rPr>
                <w:lang w:val="fr-FR"/>
              </w:rPr>
              <w:t>oeuvre</w:t>
            </w:r>
            <w:proofErr w:type="spellEnd"/>
            <w:r w:rsidRPr="00390EA4">
              <w:rPr>
                <w:lang w:val="fr-FR"/>
              </w:rPr>
              <w:t xml:space="preserve"> dans le cadre du rapportage des données</w:t>
            </w:r>
            <w:r w:rsidR="007265A3">
              <w:rPr>
                <w:lang w:val="fr-FR"/>
              </w:rPr>
              <w:t xml:space="preserve"> </w:t>
            </w:r>
            <w:r w:rsidRPr="00390EA4">
              <w:rPr>
                <w:lang w:val="fr-FR"/>
              </w:rPr>
              <w:t xml:space="preserve">: </w:t>
            </w:r>
          </w:p>
          <w:p w14:paraId="72F1FE44" w14:textId="0A90DFCA" w:rsidR="007265A3" w:rsidRDefault="003C10DA" w:rsidP="00390EA4">
            <w:pPr>
              <w:pStyle w:val="liste1"/>
            </w:pPr>
            <w:proofErr w:type="spellStart"/>
            <w:r w:rsidRPr="00390EA4">
              <w:t>Redynamisation</w:t>
            </w:r>
            <w:proofErr w:type="spellEnd"/>
            <w:r w:rsidRPr="00390EA4">
              <w:t xml:space="preserve"> du cadre </w:t>
            </w:r>
            <w:proofErr w:type="spellStart"/>
            <w:r w:rsidRPr="00390EA4">
              <w:t>organisationnel</w:t>
            </w:r>
            <w:proofErr w:type="spellEnd"/>
            <w:r w:rsidRPr="00390EA4">
              <w:t xml:space="preserve"> et de coordination du </w:t>
            </w:r>
            <w:proofErr w:type="spellStart"/>
            <w:r w:rsidR="00A471F2">
              <w:t>suivi-évaluation</w:t>
            </w:r>
            <w:proofErr w:type="spellEnd"/>
            <w:r w:rsidRPr="00390EA4">
              <w:t xml:space="preserve"> </w:t>
            </w:r>
          </w:p>
          <w:p w14:paraId="4390F0F6" w14:textId="7EDEB75A" w:rsidR="007265A3" w:rsidRDefault="003C10DA" w:rsidP="00390EA4">
            <w:pPr>
              <w:pStyle w:val="liste1"/>
            </w:pPr>
            <w:proofErr w:type="spellStart"/>
            <w:r w:rsidRPr="00390EA4">
              <w:t>Renforcement</w:t>
            </w:r>
            <w:proofErr w:type="spellEnd"/>
            <w:r w:rsidRPr="00390EA4">
              <w:t xml:space="preserve"> des </w:t>
            </w:r>
            <w:proofErr w:type="spellStart"/>
            <w:r w:rsidRPr="00390EA4">
              <w:t>capacités</w:t>
            </w:r>
            <w:proofErr w:type="spellEnd"/>
            <w:r w:rsidRPr="00390EA4">
              <w:t xml:space="preserve"> des </w:t>
            </w:r>
            <w:proofErr w:type="spellStart"/>
            <w:r w:rsidRPr="00390EA4">
              <w:t>ressources</w:t>
            </w:r>
            <w:proofErr w:type="spellEnd"/>
            <w:r w:rsidRPr="00390EA4">
              <w:t xml:space="preserve"> </w:t>
            </w:r>
            <w:proofErr w:type="spellStart"/>
            <w:r w:rsidRPr="00390EA4">
              <w:t>humaines</w:t>
            </w:r>
            <w:proofErr w:type="spellEnd"/>
            <w:r w:rsidRPr="00390EA4">
              <w:t xml:space="preserve"> </w:t>
            </w:r>
            <w:proofErr w:type="spellStart"/>
            <w:r w:rsidRPr="00390EA4">
              <w:t>en</w:t>
            </w:r>
            <w:proofErr w:type="spellEnd"/>
            <w:r w:rsidRPr="00390EA4">
              <w:t xml:space="preserve"> matière de </w:t>
            </w:r>
            <w:proofErr w:type="spellStart"/>
            <w:r w:rsidR="00A471F2">
              <w:t>s</w:t>
            </w:r>
            <w:r w:rsidRPr="00390EA4">
              <w:t>uivi</w:t>
            </w:r>
            <w:proofErr w:type="spellEnd"/>
            <w:r w:rsidRPr="00390EA4">
              <w:t xml:space="preserve"> et </w:t>
            </w:r>
            <w:proofErr w:type="spellStart"/>
            <w:r w:rsidRPr="00390EA4">
              <w:t>évaluation</w:t>
            </w:r>
            <w:proofErr w:type="spellEnd"/>
          </w:p>
          <w:p w14:paraId="4EACCF2B" w14:textId="03FF2FBE" w:rsidR="007265A3" w:rsidRDefault="00A471F2" w:rsidP="00390EA4">
            <w:pPr>
              <w:pStyle w:val="liste1"/>
            </w:pPr>
            <w:proofErr w:type="spellStart"/>
            <w:r>
              <w:t>I</w:t>
            </w:r>
            <w:r w:rsidR="003C10DA" w:rsidRPr="00390EA4">
              <w:t>ntégration</w:t>
            </w:r>
            <w:proofErr w:type="spellEnd"/>
            <w:r w:rsidR="003C10DA" w:rsidRPr="00390EA4">
              <w:t xml:space="preserve"> du </w:t>
            </w:r>
            <w:proofErr w:type="spellStart"/>
            <w:r w:rsidR="003C10DA" w:rsidRPr="00390EA4">
              <w:t>système</w:t>
            </w:r>
            <w:proofErr w:type="spellEnd"/>
            <w:r w:rsidR="003C10DA" w:rsidRPr="00390EA4">
              <w:t xml:space="preserve"> </w:t>
            </w:r>
            <w:proofErr w:type="spellStart"/>
            <w:r w:rsidR="003C10DA" w:rsidRPr="00390EA4">
              <w:t>communautaire</w:t>
            </w:r>
            <w:proofErr w:type="spellEnd"/>
            <w:r w:rsidR="003C10DA" w:rsidRPr="00390EA4">
              <w:t xml:space="preserve"> dans DHIS2 et </w:t>
            </w:r>
            <w:proofErr w:type="spellStart"/>
            <w:r w:rsidR="003C10DA" w:rsidRPr="00390EA4">
              <w:t>l’interopérabilité</w:t>
            </w:r>
            <w:proofErr w:type="spellEnd"/>
            <w:r w:rsidR="003C10DA" w:rsidRPr="00390EA4">
              <w:t xml:space="preserve"> des </w:t>
            </w:r>
            <w:proofErr w:type="spellStart"/>
            <w:r w:rsidR="003C10DA" w:rsidRPr="00390EA4">
              <w:t>différents</w:t>
            </w:r>
            <w:proofErr w:type="spellEnd"/>
            <w:r w:rsidR="003C10DA" w:rsidRPr="00390EA4">
              <w:t xml:space="preserve"> </w:t>
            </w:r>
            <w:proofErr w:type="spellStart"/>
            <w:r w:rsidR="003C10DA" w:rsidRPr="00390EA4">
              <w:t>logiciels</w:t>
            </w:r>
            <w:proofErr w:type="spellEnd"/>
            <w:r w:rsidR="003C10DA" w:rsidRPr="00390EA4">
              <w:t xml:space="preserve"> de gestion (</w:t>
            </w:r>
            <w:proofErr w:type="spellStart"/>
            <w:r w:rsidR="003C10DA" w:rsidRPr="00390EA4">
              <w:t>données</w:t>
            </w:r>
            <w:proofErr w:type="spellEnd"/>
            <w:r w:rsidR="003C10DA" w:rsidRPr="00390EA4">
              <w:t xml:space="preserve"> </w:t>
            </w:r>
            <w:proofErr w:type="spellStart"/>
            <w:r w:rsidR="003C10DA" w:rsidRPr="00390EA4">
              <w:t>communautaires</w:t>
            </w:r>
            <w:proofErr w:type="spellEnd"/>
            <w:r w:rsidR="003C10DA" w:rsidRPr="00390EA4">
              <w:t xml:space="preserve">, </w:t>
            </w:r>
            <w:r>
              <w:t xml:space="preserve">sites de </w:t>
            </w:r>
            <w:proofErr w:type="spellStart"/>
            <w:r>
              <w:t>prise</w:t>
            </w:r>
            <w:proofErr w:type="spellEnd"/>
            <w:r>
              <w:t xml:space="preserve"> </w:t>
            </w:r>
            <w:proofErr w:type="spellStart"/>
            <w:r>
              <w:t>en</w:t>
            </w:r>
            <w:proofErr w:type="spellEnd"/>
            <w:r>
              <w:t xml:space="preserve"> charge</w:t>
            </w:r>
            <w:r w:rsidRPr="00390EA4">
              <w:t xml:space="preserve"> </w:t>
            </w:r>
            <w:r w:rsidR="003C10DA" w:rsidRPr="00390EA4">
              <w:t xml:space="preserve">et </w:t>
            </w:r>
            <w:proofErr w:type="spellStart"/>
            <w:r w:rsidR="003C10DA" w:rsidRPr="00390EA4">
              <w:t>laboratoire</w:t>
            </w:r>
            <w:proofErr w:type="spellEnd"/>
            <w:r w:rsidR="003C10DA" w:rsidRPr="00390EA4">
              <w:t>)</w:t>
            </w:r>
            <w:r>
              <w:t xml:space="preserve">, y </w:t>
            </w:r>
            <w:proofErr w:type="spellStart"/>
            <w:r w:rsidRPr="007F6B31">
              <w:t>compris</w:t>
            </w:r>
            <w:proofErr w:type="spellEnd"/>
            <w:r w:rsidRPr="007F6B31">
              <w:t xml:space="preserve"> pour les </w:t>
            </w:r>
            <w:r>
              <w:t xml:space="preserve">KPs et populations </w:t>
            </w:r>
            <w:proofErr w:type="spellStart"/>
            <w:r>
              <w:t>vulnérables</w:t>
            </w:r>
            <w:proofErr w:type="spellEnd"/>
            <w:r>
              <w:t> </w:t>
            </w:r>
          </w:p>
          <w:p w14:paraId="7318ED64" w14:textId="3421EE54" w:rsidR="003C10DA" w:rsidRPr="00390EA4" w:rsidRDefault="003C10DA" w:rsidP="00390EA4">
            <w:pPr>
              <w:pStyle w:val="liste1"/>
            </w:pPr>
            <w:proofErr w:type="spellStart"/>
            <w:r w:rsidRPr="00390EA4">
              <w:t>Disponibilisation</w:t>
            </w:r>
            <w:proofErr w:type="spellEnd"/>
            <w:r w:rsidRPr="00390EA4">
              <w:t xml:space="preserve"> </w:t>
            </w:r>
            <w:proofErr w:type="spellStart"/>
            <w:r w:rsidRPr="00390EA4">
              <w:t>permanente</w:t>
            </w:r>
            <w:proofErr w:type="spellEnd"/>
            <w:r w:rsidRPr="00390EA4">
              <w:t xml:space="preserve"> des </w:t>
            </w:r>
            <w:proofErr w:type="spellStart"/>
            <w:r w:rsidRPr="00390EA4">
              <w:t>outils</w:t>
            </w:r>
            <w:proofErr w:type="spellEnd"/>
            <w:r w:rsidRPr="00390EA4">
              <w:t xml:space="preserve"> (papier et </w:t>
            </w:r>
            <w:proofErr w:type="spellStart"/>
            <w:r w:rsidRPr="00390EA4">
              <w:t>électronique</w:t>
            </w:r>
            <w:proofErr w:type="spellEnd"/>
            <w:r w:rsidRPr="00390EA4">
              <w:t xml:space="preserve">) de </w:t>
            </w:r>
            <w:proofErr w:type="spellStart"/>
            <w:r w:rsidRPr="00390EA4">
              <w:t>collecte</w:t>
            </w:r>
            <w:proofErr w:type="spellEnd"/>
            <w:r w:rsidRPr="00390EA4">
              <w:t xml:space="preserve"> des </w:t>
            </w:r>
            <w:proofErr w:type="spellStart"/>
            <w:r w:rsidRPr="00390EA4">
              <w:t>données</w:t>
            </w:r>
            <w:proofErr w:type="spellEnd"/>
            <w:r w:rsidRPr="00390EA4">
              <w:t xml:space="preserve"> de routine (</w:t>
            </w:r>
            <w:proofErr w:type="spellStart"/>
            <w:r w:rsidRPr="00390EA4">
              <w:t>cliniques</w:t>
            </w:r>
            <w:proofErr w:type="spellEnd"/>
            <w:r w:rsidRPr="00390EA4">
              <w:t xml:space="preserve">, </w:t>
            </w:r>
            <w:proofErr w:type="spellStart"/>
            <w:r w:rsidRPr="00390EA4">
              <w:t>communautaires</w:t>
            </w:r>
            <w:proofErr w:type="spellEnd"/>
            <w:r w:rsidRPr="00390EA4">
              <w:t xml:space="preserve">, </w:t>
            </w:r>
            <w:proofErr w:type="spellStart"/>
            <w:r w:rsidRPr="00390EA4">
              <w:t>privés</w:t>
            </w:r>
            <w:proofErr w:type="spellEnd"/>
            <w:r w:rsidRPr="00390EA4">
              <w:t xml:space="preserve"> </w:t>
            </w:r>
            <w:proofErr w:type="spellStart"/>
            <w:r w:rsidRPr="00390EA4">
              <w:t>lucratifs</w:t>
            </w:r>
            <w:proofErr w:type="spellEnd"/>
            <w:r w:rsidRPr="00390EA4">
              <w:t xml:space="preserve">, de </w:t>
            </w:r>
            <w:proofErr w:type="spellStart"/>
            <w:r w:rsidRPr="00390EA4">
              <w:t>laboratoire</w:t>
            </w:r>
            <w:proofErr w:type="spellEnd"/>
            <w:r w:rsidRPr="00390EA4">
              <w:t xml:space="preserve"> et </w:t>
            </w:r>
            <w:proofErr w:type="spellStart"/>
            <w:r w:rsidRPr="00390EA4">
              <w:t>logistiques</w:t>
            </w:r>
            <w:proofErr w:type="spellEnd"/>
            <w:r w:rsidRPr="00390EA4">
              <w:t>)</w:t>
            </w:r>
          </w:p>
          <w:p w14:paraId="33FF9700" w14:textId="77777777" w:rsidR="003C10DA" w:rsidRPr="00390EA4" w:rsidRDefault="003C10DA" w:rsidP="006F6940">
            <w:pPr>
              <w:pStyle w:val="NormalJBGS"/>
              <w:numPr>
                <w:ilvl w:val="0"/>
                <w:numId w:val="35"/>
              </w:numPr>
              <w:jc w:val="both"/>
              <w:rPr>
                <w:b/>
                <w:i w:val="0"/>
                <w:iCs w:val="0"/>
                <w:color w:val="auto"/>
                <w:sz w:val="22"/>
                <w:szCs w:val="22"/>
              </w:rPr>
            </w:pPr>
            <w:r w:rsidRPr="00390EA4">
              <w:rPr>
                <w:b/>
                <w:i w:val="0"/>
                <w:iCs w:val="0"/>
                <w:color w:val="auto"/>
                <w:sz w:val="22"/>
                <w:szCs w:val="22"/>
              </w:rPr>
              <w:t xml:space="preserve">La </w:t>
            </w:r>
            <w:proofErr w:type="spellStart"/>
            <w:r w:rsidRPr="00390EA4">
              <w:rPr>
                <w:b/>
                <w:i w:val="0"/>
                <w:iCs w:val="0"/>
                <w:color w:val="auto"/>
                <w:sz w:val="22"/>
                <w:szCs w:val="22"/>
              </w:rPr>
              <w:t>qualité</w:t>
            </w:r>
            <w:proofErr w:type="spellEnd"/>
            <w:r w:rsidRPr="00390EA4">
              <w:rPr>
                <w:b/>
                <w:i w:val="0"/>
                <w:iCs w:val="0"/>
                <w:color w:val="auto"/>
                <w:sz w:val="22"/>
                <w:szCs w:val="22"/>
              </w:rPr>
              <w:t xml:space="preserve"> des </w:t>
            </w:r>
            <w:proofErr w:type="spellStart"/>
            <w:r w:rsidRPr="00390EA4">
              <w:rPr>
                <w:b/>
                <w:i w:val="0"/>
                <w:iCs w:val="0"/>
                <w:color w:val="auto"/>
                <w:sz w:val="22"/>
                <w:szCs w:val="22"/>
              </w:rPr>
              <w:t>données</w:t>
            </w:r>
            <w:proofErr w:type="spellEnd"/>
            <w:r w:rsidRPr="00390EA4">
              <w:rPr>
                <w:b/>
                <w:i w:val="0"/>
                <w:iCs w:val="0"/>
                <w:color w:val="auto"/>
                <w:sz w:val="22"/>
                <w:szCs w:val="22"/>
              </w:rPr>
              <w:t xml:space="preserve"> </w:t>
            </w:r>
          </w:p>
          <w:p w14:paraId="17C30049" w14:textId="14C0E6E2" w:rsidR="007265A3" w:rsidRPr="00750CA9" w:rsidRDefault="003C10DA" w:rsidP="00390EA4">
            <w:pPr>
              <w:pStyle w:val="Texteformulaire"/>
              <w:rPr>
                <w:b/>
                <w:i/>
                <w:lang w:val="fr-FR"/>
              </w:rPr>
            </w:pPr>
            <w:r w:rsidRPr="00750CA9">
              <w:rPr>
                <w:lang w:val="fr-FR"/>
              </w:rPr>
              <w:t xml:space="preserve">Les </w:t>
            </w:r>
            <w:r w:rsidR="007265A3" w:rsidRPr="00750CA9">
              <w:rPr>
                <w:lang w:val="fr-FR"/>
              </w:rPr>
              <w:t xml:space="preserve">activités </w:t>
            </w:r>
            <w:r w:rsidRPr="00750CA9">
              <w:rPr>
                <w:lang w:val="fr-FR"/>
              </w:rPr>
              <w:t>ci-dessous seront développées afin d’améliorer la qualité des données</w:t>
            </w:r>
            <w:r w:rsidR="007265A3" w:rsidRPr="00750CA9">
              <w:rPr>
                <w:lang w:val="fr-FR"/>
              </w:rPr>
              <w:t xml:space="preserve"> </w:t>
            </w:r>
            <w:r w:rsidRPr="00750CA9">
              <w:rPr>
                <w:lang w:val="fr-FR"/>
              </w:rPr>
              <w:t xml:space="preserve">: </w:t>
            </w:r>
          </w:p>
          <w:p w14:paraId="132D69C9" w14:textId="476621D3" w:rsidR="007265A3" w:rsidRPr="00390EA4" w:rsidRDefault="003C10DA" w:rsidP="007265A3">
            <w:pPr>
              <w:pStyle w:val="liste1"/>
              <w:rPr>
                <w:b/>
                <w:bCs/>
                <w:i/>
                <w:iCs/>
              </w:rPr>
            </w:pPr>
            <w:r w:rsidRPr="00390EA4">
              <w:t xml:space="preserve">Validation des </w:t>
            </w:r>
            <w:proofErr w:type="spellStart"/>
            <w:r w:rsidRPr="00390EA4">
              <w:t>données</w:t>
            </w:r>
            <w:proofErr w:type="spellEnd"/>
            <w:r w:rsidRPr="00390EA4">
              <w:t xml:space="preserve"> </w:t>
            </w:r>
            <w:proofErr w:type="spellStart"/>
            <w:r w:rsidRPr="00390EA4">
              <w:t>par</w:t>
            </w:r>
            <w:proofErr w:type="spellEnd"/>
            <w:r w:rsidRPr="00390EA4">
              <w:t xml:space="preserve"> site, par DDS, par DRS et au </w:t>
            </w:r>
            <w:proofErr w:type="spellStart"/>
            <w:r w:rsidRPr="00390EA4">
              <w:t>niveau</w:t>
            </w:r>
            <w:proofErr w:type="spellEnd"/>
            <w:r w:rsidRPr="00390EA4">
              <w:t xml:space="preserve"> national</w:t>
            </w:r>
            <w:r w:rsidRPr="00390EA4">
              <w:rPr>
                <w:i/>
              </w:rPr>
              <w:t xml:space="preserve">, </w:t>
            </w:r>
          </w:p>
          <w:p w14:paraId="270175A5" w14:textId="2A0004CC" w:rsidR="007265A3" w:rsidRPr="00390EA4" w:rsidRDefault="003C10DA" w:rsidP="007265A3">
            <w:pPr>
              <w:pStyle w:val="liste1"/>
              <w:rPr>
                <w:b/>
                <w:bCs/>
                <w:i/>
                <w:iCs/>
              </w:rPr>
            </w:pPr>
            <w:r w:rsidRPr="00390EA4">
              <w:t xml:space="preserve">Audit de la </w:t>
            </w:r>
            <w:proofErr w:type="spellStart"/>
            <w:r w:rsidRPr="00390EA4">
              <w:t>qualité</w:t>
            </w:r>
            <w:proofErr w:type="spellEnd"/>
            <w:r w:rsidRPr="00390EA4">
              <w:t xml:space="preserve"> des </w:t>
            </w:r>
            <w:proofErr w:type="spellStart"/>
            <w:r w:rsidRPr="00390EA4">
              <w:t>données</w:t>
            </w:r>
            <w:proofErr w:type="spellEnd"/>
            <w:r w:rsidRPr="00390EA4">
              <w:t xml:space="preserve"> à </w:t>
            </w:r>
            <w:proofErr w:type="spellStart"/>
            <w:r w:rsidRPr="00390EA4">
              <w:t>tous</w:t>
            </w:r>
            <w:proofErr w:type="spellEnd"/>
            <w:r w:rsidRPr="00390EA4">
              <w:t xml:space="preserve"> les </w:t>
            </w:r>
            <w:proofErr w:type="spellStart"/>
            <w:r w:rsidRPr="00390EA4">
              <w:t>niveaux</w:t>
            </w:r>
            <w:proofErr w:type="spellEnd"/>
            <w:r w:rsidRPr="00390EA4">
              <w:t xml:space="preserve"> de la </w:t>
            </w:r>
            <w:proofErr w:type="spellStart"/>
            <w:r w:rsidRPr="00390EA4">
              <w:t>pyramide</w:t>
            </w:r>
            <w:proofErr w:type="spellEnd"/>
            <w:r w:rsidRPr="00390EA4">
              <w:t xml:space="preserve">, </w:t>
            </w:r>
          </w:p>
          <w:p w14:paraId="03876CB1" w14:textId="3DE22064" w:rsidR="003C10DA" w:rsidRPr="00390EA4" w:rsidRDefault="003C10DA" w:rsidP="00390EA4">
            <w:pPr>
              <w:pStyle w:val="liste1"/>
              <w:rPr>
                <w:rStyle w:val="IntenseEmphasis"/>
              </w:rPr>
            </w:pPr>
            <w:r w:rsidRPr="00390EA4">
              <w:t xml:space="preserve">Mise </w:t>
            </w:r>
            <w:proofErr w:type="spellStart"/>
            <w:r w:rsidRPr="00390EA4">
              <w:t>en</w:t>
            </w:r>
            <w:proofErr w:type="spellEnd"/>
            <w:r w:rsidRPr="00390EA4">
              <w:t xml:space="preserve"> place du </w:t>
            </w:r>
            <w:proofErr w:type="spellStart"/>
            <w:r w:rsidRPr="00390EA4">
              <w:t>système</w:t>
            </w:r>
            <w:proofErr w:type="spellEnd"/>
            <w:r w:rsidRPr="00390EA4">
              <w:t xml:space="preserve"> </w:t>
            </w:r>
            <w:proofErr w:type="spellStart"/>
            <w:r w:rsidRPr="00390EA4">
              <w:t>d’identification</w:t>
            </w:r>
            <w:proofErr w:type="spellEnd"/>
            <w:r w:rsidRPr="00390EA4">
              <w:t xml:space="preserve"> unique </w:t>
            </w:r>
            <w:proofErr w:type="spellStart"/>
            <w:r w:rsidRPr="00390EA4">
              <w:t>en</w:t>
            </w:r>
            <w:proofErr w:type="spellEnd"/>
            <w:r w:rsidRPr="00390EA4">
              <w:t xml:space="preserve"> lien avec la couverture </w:t>
            </w:r>
            <w:proofErr w:type="spellStart"/>
            <w:r w:rsidRPr="00390EA4">
              <w:t>maladie</w:t>
            </w:r>
            <w:proofErr w:type="spellEnd"/>
            <w:r w:rsidRPr="00390EA4">
              <w:t xml:space="preserve"> </w:t>
            </w:r>
            <w:proofErr w:type="spellStart"/>
            <w:r w:rsidRPr="00390EA4">
              <w:t>universelle</w:t>
            </w:r>
            <w:proofErr w:type="spellEnd"/>
            <w:r w:rsidRPr="00390EA4">
              <w:rPr>
                <w:rStyle w:val="IntenseEmphasis"/>
              </w:rPr>
              <w:t xml:space="preserve"> </w:t>
            </w:r>
          </w:p>
          <w:p w14:paraId="7D6168E3" w14:textId="77777777" w:rsidR="003C10DA" w:rsidRPr="00390EA4" w:rsidRDefault="003C10DA" w:rsidP="006F6940">
            <w:pPr>
              <w:pStyle w:val="NormalJBGS"/>
              <w:numPr>
                <w:ilvl w:val="0"/>
                <w:numId w:val="35"/>
              </w:numPr>
              <w:jc w:val="both"/>
              <w:rPr>
                <w:b/>
                <w:i w:val="0"/>
                <w:iCs w:val="0"/>
                <w:color w:val="auto"/>
                <w:sz w:val="22"/>
                <w:szCs w:val="22"/>
              </w:rPr>
            </w:pPr>
            <w:r w:rsidRPr="00390EA4">
              <w:rPr>
                <w:b/>
                <w:i w:val="0"/>
                <w:iCs w:val="0"/>
                <w:color w:val="auto"/>
                <w:sz w:val="22"/>
                <w:szCs w:val="22"/>
              </w:rPr>
              <w:t xml:space="preserve">Les </w:t>
            </w:r>
            <w:proofErr w:type="spellStart"/>
            <w:r w:rsidRPr="00390EA4">
              <w:rPr>
                <w:b/>
                <w:i w:val="0"/>
                <w:iCs w:val="0"/>
                <w:color w:val="auto"/>
                <w:sz w:val="22"/>
                <w:szCs w:val="22"/>
              </w:rPr>
              <w:t>évaluations</w:t>
            </w:r>
            <w:proofErr w:type="spellEnd"/>
            <w:r w:rsidRPr="00390EA4">
              <w:rPr>
                <w:b/>
                <w:i w:val="0"/>
                <w:iCs w:val="0"/>
                <w:color w:val="auto"/>
                <w:sz w:val="22"/>
                <w:szCs w:val="22"/>
              </w:rPr>
              <w:t xml:space="preserve"> et des </w:t>
            </w:r>
            <w:proofErr w:type="spellStart"/>
            <w:r w:rsidRPr="00390EA4">
              <w:rPr>
                <w:b/>
                <w:i w:val="0"/>
                <w:iCs w:val="0"/>
                <w:color w:val="auto"/>
                <w:sz w:val="22"/>
                <w:szCs w:val="22"/>
              </w:rPr>
              <w:t>enquêtes</w:t>
            </w:r>
            <w:proofErr w:type="spellEnd"/>
          </w:p>
          <w:p w14:paraId="20D3FB3D" w14:textId="5C775118" w:rsidR="00A471F2" w:rsidRPr="00750CA9" w:rsidRDefault="003C10DA" w:rsidP="006603FF">
            <w:pPr>
              <w:pStyle w:val="liste1"/>
              <w:rPr>
                <w:lang w:val="fr-FR"/>
              </w:rPr>
            </w:pPr>
            <w:proofErr w:type="spellStart"/>
            <w:r w:rsidRPr="00F96B2D">
              <w:t>Renforcement</w:t>
            </w:r>
            <w:proofErr w:type="spellEnd"/>
            <w:r w:rsidRPr="00F96B2D">
              <w:t xml:space="preserve"> du cadre </w:t>
            </w:r>
            <w:proofErr w:type="spellStart"/>
            <w:r w:rsidRPr="00F96B2D">
              <w:t>institutionnel</w:t>
            </w:r>
            <w:proofErr w:type="spellEnd"/>
            <w:r w:rsidRPr="00F96B2D">
              <w:t xml:space="preserve"> et </w:t>
            </w:r>
            <w:proofErr w:type="spellStart"/>
            <w:r w:rsidRPr="00F96B2D">
              <w:t>opérationnel</w:t>
            </w:r>
            <w:proofErr w:type="spellEnd"/>
            <w:r w:rsidRPr="00F96B2D">
              <w:t xml:space="preserve"> de la surveillance </w:t>
            </w:r>
            <w:r w:rsidRPr="00750CA9">
              <w:rPr>
                <w:lang w:val="fr-FR"/>
              </w:rPr>
              <w:t>épid</w:t>
            </w:r>
            <w:r w:rsidR="00A471F2" w:rsidRPr="00750CA9">
              <w:rPr>
                <w:lang w:val="fr-FR"/>
              </w:rPr>
              <w:t>é</w:t>
            </w:r>
            <w:r w:rsidRPr="00750CA9">
              <w:rPr>
                <w:lang w:val="fr-FR"/>
              </w:rPr>
              <w:t>miologique du VIH/sida et IST</w:t>
            </w:r>
            <w:r w:rsidR="00A471F2" w:rsidRPr="00750CA9">
              <w:rPr>
                <w:lang w:val="fr-FR"/>
              </w:rPr>
              <w:t>,</w:t>
            </w:r>
            <w:r w:rsidRPr="00750CA9">
              <w:rPr>
                <w:lang w:val="fr-FR"/>
              </w:rPr>
              <w:t xml:space="preserve"> à tous les niveaux de la pyramide sanitaire</w:t>
            </w:r>
            <w:r w:rsidR="00A471F2" w:rsidRPr="00750CA9">
              <w:rPr>
                <w:lang w:val="fr-FR"/>
              </w:rPr>
              <w:t xml:space="preserve"> ;</w:t>
            </w:r>
            <w:r w:rsidR="00E72346" w:rsidRPr="00750CA9">
              <w:rPr>
                <w:lang w:val="fr-FR"/>
              </w:rPr>
              <w:t xml:space="preserve"> en particulier le r</w:t>
            </w:r>
            <w:r w:rsidR="00A471F2" w:rsidRPr="00750CA9">
              <w:rPr>
                <w:lang w:val="fr-FR"/>
              </w:rPr>
              <w:t xml:space="preserve">enforcement de la surveillance </w:t>
            </w:r>
            <w:r w:rsidR="00E72346" w:rsidRPr="00750CA9">
              <w:rPr>
                <w:lang w:val="fr-FR"/>
              </w:rPr>
              <w:t xml:space="preserve">du </w:t>
            </w:r>
            <w:r w:rsidR="00A471F2" w:rsidRPr="00750CA9">
              <w:rPr>
                <w:lang w:val="fr-FR"/>
              </w:rPr>
              <w:t>suivi de</w:t>
            </w:r>
            <w:r w:rsidR="00E72346" w:rsidRPr="00750CA9">
              <w:rPr>
                <w:lang w:val="fr-FR"/>
              </w:rPr>
              <w:t>s</w:t>
            </w:r>
            <w:r w:rsidR="00A471F2" w:rsidRPr="00750CA9">
              <w:rPr>
                <w:lang w:val="fr-FR"/>
              </w:rPr>
              <w:t xml:space="preserve"> </w:t>
            </w:r>
            <w:r w:rsidR="00E72346" w:rsidRPr="00750CA9">
              <w:rPr>
                <w:lang w:val="fr-FR"/>
              </w:rPr>
              <w:t>PVVIH</w:t>
            </w:r>
            <w:r w:rsidR="00A471F2" w:rsidRPr="00750CA9">
              <w:rPr>
                <w:lang w:val="fr-FR"/>
              </w:rPr>
              <w:t>, de</w:t>
            </w:r>
            <w:r w:rsidR="00E72346" w:rsidRPr="00750CA9">
              <w:rPr>
                <w:lang w:val="fr-FR"/>
              </w:rPr>
              <w:t>s</w:t>
            </w:r>
            <w:r w:rsidR="00A471F2" w:rsidRPr="00750CA9">
              <w:rPr>
                <w:lang w:val="fr-FR"/>
              </w:rPr>
              <w:t xml:space="preserve"> populati</w:t>
            </w:r>
            <w:r w:rsidR="00E72346" w:rsidRPr="00750CA9">
              <w:rPr>
                <w:lang w:val="fr-FR"/>
              </w:rPr>
              <w:t>o</w:t>
            </w:r>
            <w:r w:rsidR="00A471F2" w:rsidRPr="00750CA9">
              <w:rPr>
                <w:lang w:val="fr-FR"/>
              </w:rPr>
              <w:t>n</w:t>
            </w:r>
            <w:r w:rsidR="00E72346" w:rsidRPr="00750CA9">
              <w:rPr>
                <w:lang w:val="fr-FR"/>
              </w:rPr>
              <w:t>s</w:t>
            </w:r>
            <w:r w:rsidR="00A471F2" w:rsidRPr="00750CA9">
              <w:rPr>
                <w:lang w:val="fr-FR"/>
              </w:rPr>
              <w:t xml:space="preserve"> cl</w:t>
            </w:r>
            <w:r w:rsidR="00E72346" w:rsidRPr="00750CA9">
              <w:rPr>
                <w:lang w:val="fr-FR"/>
              </w:rPr>
              <w:t>és, des</w:t>
            </w:r>
            <w:r w:rsidR="00A471F2" w:rsidRPr="00750CA9">
              <w:rPr>
                <w:lang w:val="fr-FR"/>
              </w:rPr>
              <w:t xml:space="preserve"> jeunes et ados</w:t>
            </w:r>
            <w:r w:rsidR="00E72346" w:rsidRPr="00750CA9">
              <w:rPr>
                <w:lang w:val="fr-FR"/>
              </w:rPr>
              <w:t xml:space="preserve">; avec analyses </w:t>
            </w:r>
            <w:r w:rsidR="00A471F2" w:rsidRPr="00750CA9">
              <w:rPr>
                <w:lang w:val="fr-FR"/>
              </w:rPr>
              <w:t>et revues</w:t>
            </w:r>
            <w:r w:rsidR="00E72346" w:rsidRPr="00750CA9">
              <w:rPr>
                <w:lang w:val="fr-FR"/>
              </w:rPr>
              <w:t xml:space="preserve"> (é</w:t>
            </w:r>
            <w:r w:rsidR="00A471F2" w:rsidRPr="00750CA9">
              <w:rPr>
                <w:lang w:val="fr-FR"/>
              </w:rPr>
              <w:t>laboration des SOP pour analyse</w:t>
            </w:r>
            <w:r w:rsidR="00E72346" w:rsidRPr="00750CA9">
              <w:rPr>
                <w:lang w:val="fr-FR"/>
              </w:rPr>
              <w:t xml:space="preserve">s de </w:t>
            </w:r>
            <w:r w:rsidR="00A471F2" w:rsidRPr="00750CA9">
              <w:rPr>
                <w:lang w:val="fr-FR"/>
              </w:rPr>
              <w:t>routine</w:t>
            </w:r>
            <w:r w:rsidR="00E72346" w:rsidRPr="00750CA9">
              <w:rPr>
                <w:lang w:val="fr-FR"/>
              </w:rPr>
              <w:t>)</w:t>
            </w:r>
            <w:r w:rsidR="00A471F2" w:rsidRPr="00750CA9">
              <w:rPr>
                <w:lang w:val="fr-FR"/>
              </w:rPr>
              <w:t xml:space="preserve"> de la cascade </w:t>
            </w:r>
            <w:r w:rsidR="00E72346" w:rsidRPr="00750CA9">
              <w:rPr>
                <w:lang w:val="fr-FR"/>
              </w:rPr>
              <w:t xml:space="preserve">et </w:t>
            </w:r>
            <w:r w:rsidR="00A471F2" w:rsidRPr="00750CA9">
              <w:rPr>
                <w:lang w:val="fr-FR"/>
              </w:rPr>
              <w:t xml:space="preserve">de la </w:t>
            </w:r>
            <w:r w:rsidR="00E72346" w:rsidRPr="00750CA9">
              <w:rPr>
                <w:lang w:val="fr-FR"/>
              </w:rPr>
              <w:t>cohorte ;</w:t>
            </w:r>
          </w:p>
          <w:p w14:paraId="4FDA6590" w14:textId="686EDF2E" w:rsidR="007265A3" w:rsidRPr="00750CA9" w:rsidRDefault="003C10DA" w:rsidP="00390EA4">
            <w:pPr>
              <w:pStyle w:val="liste1"/>
              <w:rPr>
                <w:lang w:val="fr-FR"/>
              </w:rPr>
            </w:pPr>
            <w:r w:rsidRPr="00750CA9">
              <w:rPr>
                <w:lang w:val="fr-FR"/>
              </w:rPr>
              <w:t>Réalisation des enquêtes, recherche et études sur le VIH/sida et les IST</w:t>
            </w:r>
            <w:r w:rsidR="007265A3" w:rsidRPr="00750CA9">
              <w:rPr>
                <w:lang w:val="fr-FR"/>
              </w:rPr>
              <w:t xml:space="preserve"> (</w:t>
            </w:r>
            <w:r w:rsidR="00E72346" w:rsidRPr="00750CA9">
              <w:rPr>
                <w:lang w:val="fr-FR"/>
              </w:rPr>
              <w:t xml:space="preserve">y </w:t>
            </w:r>
            <w:proofErr w:type="spellStart"/>
            <w:r w:rsidR="00E72346" w:rsidRPr="00CC5140">
              <w:t>compris</w:t>
            </w:r>
            <w:proofErr w:type="spellEnd"/>
            <w:r w:rsidR="00E72346" w:rsidRPr="00CC5140">
              <w:t xml:space="preserve"> les IBBS, estimation d</w:t>
            </w:r>
            <w:r w:rsidR="00E72346">
              <w:t xml:space="preserve">e taille de populations, audit national de file active ; </w:t>
            </w:r>
            <w:proofErr w:type="spellStart"/>
            <w:r w:rsidR="00E72346">
              <w:t>enquête</w:t>
            </w:r>
            <w:proofErr w:type="spellEnd"/>
            <w:r w:rsidR="00E72346">
              <w:t xml:space="preserve"> sur la résistance,</w:t>
            </w:r>
            <w:r w:rsidR="007265A3" w:rsidRPr="00750CA9">
              <w:rPr>
                <w:lang w:val="fr-FR"/>
              </w:rPr>
              <w:t xml:space="preserve"> études de surveillance sentinelle </w:t>
            </w:r>
            <w:r w:rsidR="00E72346" w:rsidRPr="00750CA9">
              <w:rPr>
                <w:lang w:val="fr-FR"/>
              </w:rPr>
              <w:t xml:space="preserve">sur la </w:t>
            </w:r>
            <w:r w:rsidR="007265A3" w:rsidRPr="00750CA9">
              <w:rPr>
                <w:lang w:val="fr-FR"/>
              </w:rPr>
              <w:t>pharmacovigilance ARV)</w:t>
            </w:r>
          </w:p>
          <w:p w14:paraId="6677CC13" w14:textId="62246ACD" w:rsidR="00D21317" w:rsidRPr="00750CA9" w:rsidRDefault="003C10DA" w:rsidP="00750CA9">
            <w:pPr>
              <w:pStyle w:val="liste1"/>
              <w:rPr>
                <w:lang w:val="fr-FR"/>
              </w:rPr>
            </w:pPr>
            <w:r w:rsidRPr="00750CA9">
              <w:rPr>
                <w:lang w:val="fr-FR"/>
              </w:rPr>
              <w:t>Développement d'un partenariat entre le PNLS et les centres de recherche (Instituts, Médecine et Pharmacie) pour la recherche opérationnelle</w:t>
            </w:r>
          </w:p>
        </w:tc>
      </w:tr>
      <w:tr w:rsidR="003C10DA" w:rsidRPr="0037522B" w14:paraId="39BCCCDA" w14:textId="77777777" w:rsidTr="00DB293F">
        <w:trPr>
          <w:trHeight w:val="288"/>
        </w:trPr>
        <w:tc>
          <w:tcPr>
            <w:tcW w:w="811" w:type="pct"/>
            <w:shd w:val="clear" w:color="auto" w:fill="F2F2F2"/>
            <w:vAlign w:val="center"/>
          </w:tcPr>
          <w:p w14:paraId="6024A77A" w14:textId="77777777" w:rsidR="003C10DA" w:rsidRPr="007F7A64" w:rsidRDefault="003C10DA" w:rsidP="00E80CEF">
            <w:pPr>
              <w:spacing w:after="0"/>
              <w:rPr>
                <w:b/>
              </w:rPr>
            </w:pPr>
            <w:r>
              <w:rPr>
                <w:b/>
                <w:lang w:bidi="fr-FR"/>
              </w:rPr>
              <w:t xml:space="preserve">Populations </w:t>
            </w:r>
            <w:proofErr w:type="spellStart"/>
            <w:r>
              <w:rPr>
                <w:b/>
                <w:lang w:bidi="fr-FR"/>
              </w:rPr>
              <w:t>prioritaires</w:t>
            </w:r>
            <w:proofErr w:type="spellEnd"/>
          </w:p>
        </w:tc>
        <w:tc>
          <w:tcPr>
            <w:tcW w:w="4189" w:type="pct"/>
          </w:tcPr>
          <w:p w14:paraId="7939CEBB" w14:textId="79B12460" w:rsidR="003C10DA" w:rsidRPr="002E07DA" w:rsidRDefault="003C10DA" w:rsidP="00DF6816">
            <w:pPr>
              <w:pStyle w:val="Texteformulaire"/>
              <w:rPr>
                <w:lang w:val="fr-FR"/>
              </w:rPr>
            </w:pPr>
            <w:r>
              <w:rPr>
                <w:lang w:val="fr-FR"/>
              </w:rPr>
              <w:t>Les populations prioritaires sont les prestataires de santé</w:t>
            </w:r>
            <w:r w:rsidR="00844CC0">
              <w:rPr>
                <w:lang w:val="fr-FR"/>
              </w:rPr>
              <w:t xml:space="preserve"> et</w:t>
            </w:r>
            <w:r>
              <w:rPr>
                <w:lang w:val="fr-FR"/>
              </w:rPr>
              <w:t xml:space="preserve"> les gestionnaires de données</w:t>
            </w:r>
          </w:p>
        </w:tc>
      </w:tr>
      <w:tr w:rsidR="003C10DA" w:rsidRPr="00F00BB3" w14:paraId="5ACAFBDC" w14:textId="77777777" w:rsidTr="00DB293F">
        <w:trPr>
          <w:trHeight w:val="288"/>
        </w:trPr>
        <w:tc>
          <w:tcPr>
            <w:tcW w:w="811" w:type="pct"/>
            <w:shd w:val="clear" w:color="auto" w:fill="F2F2F2"/>
            <w:vAlign w:val="center"/>
          </w:tcPr>
          <w:p w14:paraId="1B0B96D9" w14:textId="77777777" w:rsidR="003C10DA" w:rsidRDefault="003C10DA" w:rsidP="00E80CEF">
            <w:pPr>
              <w:spacing w:after="0"/>
              <w:rPr>
                <w:b/>
              </w:rPr>
            </w:pPr>
            <w:r>
              <w:rPr>
                <w:b/>
                <w:lang w:bidi="fr-FR"/>
              </w:rPr>
              <w:t xml:space="preserve">Obstacles et </w:t>
            </w:r>
            <w:proofErr w:type="spellStart"/>
            <w:r>
              <w:rPr>
                <w:b/>
                <w:lang w:bidi="fr-FR"/>
              </w:rPr>
              <w:t>inégalités</w:t>
            </w:r>
            <w:proofErr w:type="spellEnd"/>
          </w:p>
        </w:tc>
        <w:tc>
          <w:tcPr>
            <w:tcW w:w="4189" w:type="pct"/>
          </w:tcPr>
          <w:p w14:paraId="26A6B988" w14:textId="77777777" w:rsidR="003C10DA" w:rsidRPr="00390EA4" w:rsidRDefault="003C10DA" w:rsidP="00DF6816">
            <w:pPr>
              <w:pStyle w:val="Texteformulaire"/>
              <w:rPr>
                <w:lang w:val="fr-FR"/>
              </w:rPr>
            </w:pPr>
            <w:r w:rsidRPr="00390EA4">
              <w:rPr>
                <w:lang w:val="fr-FR"/>
              </w:rPr>
              <w:t xml:space="preserve">La faiblesse de la coordination est un véritable obstacle au développement du système d’information sanitaire. </w:t>
            </w:r>
          </w:p>
          <w:p w14:paraId="652860CF" w14:textId="77777777" w:rsidR="003C10DA" w:rsidRPr="00390EA4" w:rsidRDefault="003C10DA" w:rsidP="00DF6816">
            <w:pPr>
              <w:pStyle w:val="Texteformulaire"/>
              <w:rPr>
                <w:lang w:val="fr-FR"/>
              </w:rPr>
            </w:pPr>
            <w:r w:rsidRPr="00390EA4">
              <w:rPr>
                <w:lang w:val="fr-FR"/>
              </w:rPr>
              <w:lastRenderedPageBreak/>
              <w:t xml:space="preserve">L’insuffisance de remplissage des outils primaires de collecte de données </w:t>
            </w:r>
            <w:proofErr w:type="gramStart"/>
            <w:r w:rsidRPr="00390EA4">
              <w:rPr>
                <w:lang w:val="fr-FR"/>
              </w:rPr>
              <w:t>a</w:t>
            </w:r>
            <w:proofErr w:type="gramEnd"/>
            <w:r w:rsidRPr="00390EA4">
              <w:rPr>
                <w:lang w:val="fr-FR"/>
              </w:rPr>
              <w:t xml:space="preserve"> un impact sur la qualité des données produites au niveau périphérique. Cette insuffisance de remplissage est la conséquence de la multiplicité des outils et des items à renseigner. </w:t>
            </w:r>
          </w:p>
          <w:p w14:paraId="5916CD33" w14:textId="3B49F68C" w:rsidR="003C10DA" w:rsidRPr="00390EA4" w:rsidRDefault="003C10DA" w:rsidP="00DF6816">
            <w:pPr>
              <w:pStyle w:val="Texteformulaire"/>
              <w:rPr>
                <w:lang w:val="fr-FR"/>
              </w:rPr>
            </w:pPr>
            <w:r w:rsidRPr="00390EA4">
              <w:rPr>
                <w:lang w:val="fr-FR"/>
              </w:rPr>
              <w:t>En outre, les données produites ne sont pas analysé</w:t>
            </w:r>
            <w:r w:rsidR="007265A3">
              <w:rPr>
                <w:lang w:val="fr-FR"/>
              </w:rPr>
              <w:t>e</w:t>
            </w:r>
            <w:r w:rsidRPr="00390EA4">
              <w:rPr>
                <w:lang w:val="fr-FR"/>
              </w:rPr>
              <w:t xml:space="preserve">s par les différents acteurs de chaque niveau. </w:t>
            </w:r>
          </w:p>
        </w:tc>
      </w:tr>
      <w:tr w:rsidR="003C10DA" w:rsidRPr="0037522B" w14:paraId="3DA1947E" w14:textId="77777777" w:rsidTr="00DB293F">
        <w:trPr>
          <w:trHeight w:val="288"/>
        </w:trPr>
        <w:tc>
          <w:tcPr>
            <w:tcW w:w="811" w:type="pct"/>
            <w:shd w:val="clear" w:color="auto" w:fill="F2F2F2"/>
            <w:vAlign w:val="center"/>
          </w:tcPr>
          <w:p w14:paraId="382D1B10" w14:textId="77777777" w:rsidR="003C10DA" w:rsidRPr="007F7A64" w:rsidRDefault="003C10DA" w:rsidP="00E80CEF">
            <w:pPr>
              <w:spacing w:after="0"/>
              <w:rPr>
                <w:b/>
              </w:rPr>
            </w:pPr>
            <w:r>
              <w:rPr>
                <w:b/>
                <w:lang w:bidi="fr-FR"/>
              </w:rPr>
              <w:lastRenderedPageBreak/>
              <w:t>Justification</w:t>
            </w:r>
            <w:r>
              <w:rPr>
                <w:b/>
                <w:lang w:bidi="fr-FR"/>
              </w:rPr>
              <w:tab/>
            </w:r>
          </w:p>
        </w:tc>
        <w:tc>
          <w:tcPr>
            <w:tcW w:w="4189" w:type="pct"/>
          </w:tcPr>
          <w:p w14:paraId="3573FD1F" w14:textId="1F841DDF" w:rsidR="003C10DA" w:rsidRPr="00390EA4" w:rsidRDefault="003C10DA" w:rsidP="00DF6816">
            <w:pPr>
              <w:pStyle w:val="Texteformulaire"/>
              <w:rPr>
                <w:lang w:val="fr-FR"/>
              </w:rPr>
            </w:pPr>
            <w:r w:rsidRPr="00390EA4">
              <w:rPr>
                <w:lang w:val="fr-FR"/>
              </w:rPr>
              <w:t xml:space="preserve">Malgré les efforts apportés par le </w:t>
            </w:r>
            <w:proofErr w:type="spellStart"/>
            <w:r w:rsidRPr="00390EA4">
              <w:rPr>
                <w:lang w:val="fr-FR"/>
              </w:rPr>
              <w:t>Gouverment</w:t>
            </w:r>
            <w:proofErr w:type="spellEnd"/>
            <w:r w:rsidRPr="00390EA4">
              <w:rPr>
                <w:lang w:val="fr-FR"/>
              </w:rPr>
              <w:t xml:space="preserve"> et les différents appuis des partenaires pour le renforcement du système d’information sanitaire, la revue du PSN 2016-2020 a mis en </w:t>
            </w:r>
            <w:proofErr w:type="spellStart"/>
            <w:r w:rsidRPr="00390EA4">
              <w:rPr>
                <w:lang w:val="fr-FR"/>
              </w:rPr>
              <w:t>evidence</w:t>
            </w:r>
            <w:proofErr w:type="spellEnd"/>
            <w:r w:rsidRPr="00390EA4">
              <w:rPr>
                <w:lang w:val="fr-FR"/>
              </w:rPr>
              <w:t xml:space="preserve"> les principales faiblesses suivantes</w:t>
            </w:r>
            <w:r w:rsidR="007265A3">
              <w:rPr>
                <w:lang w:val="fr-FR"/>
              </w:rPr>
              <w:t xml:space="preserve"> </w:t>
            </w:r>
            <w:r w:rsidRPr="00390EA4">
              <w:rPr>
                <w:lang w:val="fr-FR"/>
              </w:rPr>
              <w:t xml:space="preserve">: </w:t>
            </w:r>
          </w:p>
          <w:p w14:paraId="3DC24C9A" w14:textId="77777777" w:rsidR="003C10DA" w:rsidRPr="00390EA4" w:rsidRDefault="003C10DA" w:rsidP="00390EA4">
            <w:pPr>
              <w:pStyle w:val="liste1"/>
            </w:pPr>
            <w:r w:rsidRPr="00390EA4">
              <w:t xml:space="preserve">Discordance entre les </w:t>
            </w:r>
            <w:proofErr w:type="spellStart"/>
            <w:r w:rsidRPr="00390EA4">
              <w:t>données</w:t>
            </w:r>
            <w:proofErr w:type="spellEnd"/>
            <w:r w:rsidRPr="00390EA4">
              <w:t xml:space="preserve"> </w:t>
            </w:r>
            <w:proofErr w:type="spellStart"/>
            <w:r w:rsidRPr="00390EA4">
              <w:t>transmises</w:t>
            </w:r>
            <w:proofErr w:type="spellEnd"/>
            <w:r w:rsidRPr="00390EA4">
              <w:t xml:space="preserve"> par les PMO à PEPFAR et les </w:t>
            </w:r>
            <w:proofErr w:type="spellStart"/>
            <w:r w:rsidRPr="00390EA4">
              <w:t>données</w:t>
            </w:r>
            <w:proofErr w:type="spellEnd"/>
            <w:r w:rsidRPr="00390EA4">
              <w:t xml:space="preserve"> </w:t>
            </w:r>
            <w:proofErr w:type="spellStart"/>
            <w:r w:rsidRPr="00390EA4">
              <w:t>collectées</w:t>
            </w:r>
            <w:proofErr w:type="spellEnd"/>
            <w:r w:rsidRPr="00390EA4">
              <w:t xml:space="preserve"> par le </w:t>
            </w:r>
            <w:proofErr w:type="spellStart"/>
            <w:r w:rsidRPr="00390EA4">
              <w:t>niveau</w:t>
            </w:r>
            <w:proofErr w:type="spellEnd"/>
            <w:r w:rsidRPr="00390EA4">
              <w:t xml:space="preserve"> national</w:t>
            </w:r>
          </w:p>
          <w:p w14:paraId="62018E94" w14:textId="77777777" w:rsidR="003C10DA" w:rsidRPr="00390EA4" w:rsidRDefault="003C10DA" w:rsidP="00390EA4">
            <w:pPr>
              <w:pStyle w:val="liste1"/>
            </w:pPr>
            <w:proofErr w:type="spellStart"/>
            <w:r w:rsidRPr="00390EA4">
              <w:t>Insuffisance</w:t>
            </w:r>
            <w:proofErr w:type="spellEnd"/>
            <w:r w:rsidRPr="00390EA4">
              <w:t xml:space="preserve"> </w:t>
            </w:r>
            <w:proofErr w:type="spellStart"/>
            <w:r w:rsidRPr="00390EA4">
              <w:t>d’analyse</w:t>
            </w:r>
            <w:proofErr w:type="spellEnd"/>
            <w:r w:rsidRPr="00390EA4">
              <w:t xml:space="preserve"> des </w:t>
            </w:r>
            <w:proofErr w:type="spellStart"/>
            <w:r w:rsidRPr="00390EA4">
              <w:t>données</w:t>
            </w:r>
            <w:proofErr w:type="spellEnd"/>
            <w:r w:rsidRPr="00390EA4">
              <w:t xml:space="preserve"> </w:t>
            </w:r>
            <w:proofErr w:type="spellStart"/>
            <w:r w:rsidRPr="00390EA4">
              <w:t>produites</w:t>
            </w:r>
            <w:proofErr w:type="spellEnd"/>
            <w:r w:rsidRPr="00390EA4">
              <w:t xml:space="preserve"> à </w:t>
            </w:r>
            <w:proofErr w:type="spellStart"/>
            <w:r w:rsidRPr="00390EA4">
              <w:t>tous</w:t>
            </w:r>
            <w:proofErr w:type="spellEnd"/>
            <w:r w:rsidRPr="00390EA4">
              <w:t xml:space="preserve"> les </w:t>
            </w:r>
            <w:proofErr w:type="spellStart"/>
            <w:r w:rsidRPr="00390EA4">
              <w:t>niveaux</w:t>
            </w:r>
            <w:proofErr w:type="spellEnd"/>
            <w:r w:rsidRPr="00390EA4">
              <w:t xml:space="preserve"> de la </w:t>
            </w:r>
            <w:proofErr w:type="spellStart"/>
            <w:r w:rsidRPr="00390EA4">
              <w:t>pyramide</w:t>
            </w:r>
            <w:proofErr w:type="spellEnd"/>
          </w:p>
          <w:p w14:paraId="70C7AD69" w14:textId="77777777" w:rsidR="003C10DA" w:rsidRPr="00390EA4" w:rsidRDefault="003C10DA" w:rsidP="00390EA4">
            <w:pPr>
              <w:pStyle w:val="liste1"/>
            </w:pPr>
            <w:proofErr w:type="spellStart"/>
            <w:r w:rsidRPr="00390EA4">
              <w:t>Multiplicité</w:t>
            </w:r>
            <w:proofErr w:type="spellEnd"/>
            <w:r w:rsidRPr="00390EA4">
              <w:t xml:space="preserve"> des </w:t>
            </w:r>
            <w:proofErr w:type="spellStart"/>
            <w:r w:rsidRPr="00390EA4">
              <w:t>outils</w:t>
            </w:r>
            <w:proofErr w:type="spellEnd"/>
            <w:r w:rsidRPr="00390EA4">
              <w:t xml:space="preserve"> et des </w:t>
            </w:r>
            <w:proofErr w:type="spellStart"/>
            <w:r w:rsidRPr="00390EA4">
              <w:t>indicateurs</w:t>
            </w:r>
            <w:proofErr w:type="spellEnd"/>
            <w:r w:rsidRPr="00390EA4">
              <w:t xml:space="preserve"> sur les sites de </w:t>
            </w:r>
            <w:proofErr w:type="spellStart"/>
            <w:r w:rsidRPr="00390EA4">
              <w:t>prise</w:t>
            </w:r>
            <w:proofErr w:type="spellEnd"/>
            <w:r w:rsidRPr="00390EA4">
              <w:t xml:space="preserve"> </w:t>
            </w:r>
            <w:proofErr w:type="spellStart"/>
            <w:r w:rsidRPr="00390EA4">
              <w:t>en</w:t>
            </w:r>
            <w:proofErr w:type="spellEnd"/>
            <w:r w:rsidRPr="00390EA4">
              <w:t xml:space="preserve"> charge</w:t>
            </w:r>
          </w:p>
          <w:p w14:paraId="375499B2" w14:textId="77777777" w:rsidR="003C10DA" w:rsidRPr="00390EA4" w:rsidRDefault="003C10DA" w:rsidP="00390EA4">
            <w:pPr>
              <w:pStyle w:val="liste1"/>
            </w:pPr>
            <w:proofErr w:type="spellStart"/>
            <w:r w:rsidRPr="00390EA4">
              <w:t>Mauvais</w:t>
            </w:r>
            <w:proofErr w:type="spellEnd"/>
            <w:r w:rsidRPr="00390EA4">
              <w:t xml:space="preserve"> </w:t>
            </w:r>
            <w:proofErr w:type="spellStart"/>
            <w:r w:rsidRPr="00390EA4">
              <w:t>remplissage</w:t>
            </w:r>
            <w:proofErr w:type="spellEnd"/>
            <w:r w:rsidRPr="00390EA4">
              <w:t xml:space="preserve"> des </w:t>
            </w:r>
            <w:proofErr w:type="spellStart"/>
            <w:r w:rsidRPr="00390EA4">
              <w:t>outils</w:t>
            </w:r>
            <w:proofErr w:type="spellEnd"/>
            <w:r w:rsidRPr="00390EA4">
              <w:t xml:space="preserve"> de </w:t>
            </w:r>
            <w:proofErr w:type="spellStart"/>
            <w:r w:rsidRPr="00390EA4">
              <w:t>collecte</w:t>
            </w:r>
            <w:proofErr w:type="spellEnd"/>
            <w:r w:rsidRPr="00390EA4">
              <w:t xml:space="preserve"> de </w:t>
            </w:r>
            <w:proofErr w:type="spellStart"/>
            <w:r w:rsidRPr="00390EA4">
              <w:t>données</w:t>
            </w:r>
            <w:proofErr w:type="spellEnd"/>
            <w:r w:rsidRPr="00390EA4">
              <w:t xml:space="preserve"> par les </w:t>
            </w:r>
            <w:proofErr w:type="spellStart"/>
            <w:r w:rsidRPr="00390EA4">
              <w:t>prestataires</w:t>
            </w:r>
            <w:proofErr w:type="spellEnd"/>
          </w:p>
          <w:p w14:paraId="43990194" w14:textId="77777777" w:rsidR="003C10DA" w:rsidRPr="00390EA4" w:rsidRDefault="003C10DA" w:rsidP="00390EA4">
            <w:pPr>
              <w:pStyle w:val="liste1"/>
            </w:pPr>
            <w:proofErr w:type="spellStart"/>
            <w:r w:rsidRPr="00390EA4">
              <w:t>Insuffisance</w:t>
            </w:r>
            <w:proofErr w:type="spellEnd"/>
            <w:r w:rsidRPr="00390EA4">
              <w:t xml:space="preserve"> </w:t>
            </w:r>
            <w:proofErr w:type="spellStart"/>
            <w:r w:rsidRPr="00390EA4">
              <w:t>d’intégration</w:t>
            </w:r>
            <w:proofErr w:type="spellEnd"/>
            <w:r w:rsidRPr="00390EA4">
              <w:t xml:space="preserve"> des </w:t>
            </w:r>
            <w:proofErr w:type="spellStart"/>
            <w:r w:rsidRPr="00390EA4">
              <w:t>données</w:t>
            </w:r>
            <w:proofErr w:type="spellEnd"/>
            <w:r w:rsidRPr="00390EA4">
              <w:t xml:space="preserve"> </w:t>
            </w:r>
            <w:proofErr w:type="spellStart"/>
            <w:r w:rsidRPr="00390EA4">
              <w:t>communautaires</w:t>
            </w:r>
            <w:proofErr w:type="spellEnd"/>
            <w:r w:rsidRPr="00390EA4">
              <w:t xml:space="preserve"> et des </w:t>
            </w:r>
            <w:proofErr w:type="spellStart"/>
            <w:r w:rsidRPr="00390EA4">
              <w:t>données</w:t>
            </w:r>
            <w:proofErr w:type="spellEnd"/>
            <w:r w:rsidRPr="00390EA4">
              <w:t xml:space="preserve"> des CHU et </w:t>
            </w:r>
            <w:proofErr w:type="spellStart"/>
            <w:r w:rsidRPr="00390EA4">
              <w:t>Instituts</w:t>
            </w:r>
            <w:proofErr w:type="spellEnd"/>
            <w:r w:rsidRPr="00390EA4">
              <w:t xml:space="preserve"> dans DHIS2</w:t>
            </w:r>
          </w:p>
          <w:p w14:paraId="5FDE6248" w14:textId="77777777" w:rsidR="003C10DA" w:rsidRPr="00390EA4" w:rsidRDefault="003C10DA" w:rsidP="00390EA4">
            <w:pPr>
              <w:pStyle w:val="liste1"/>
            </w:pPr>
            <w:proofErr w:type="spellStart"/>
            <w:r w:rsidRPr="00390EA4">
              <w:t>Insuffisance</w:t>
            </w:r>
            <w:proofErr w:type="spellEnd"/>
            <w:r w:rsidRPr="00390EA4">
              <w:t xml:space="preserve"> de </w:t>
            </w:r>
            <w:proofErr w:type="spellStart"/>
            <w:r w:rsidRPr="00390EA4">
              <w:t>traçabilité</w:t>
            </w:r>
            <w:proofErr w:type="spellEnd"/>
            <w:r w:rsidRPr="00390EA4">
              <w:t xml:space="preserve"> des </w:t>
            </w:r>
            <w:proofErr w:type="spellStart"/>
            <w:r w:rsidRPr="00390EA4">
              <w:t>données</w:t>
            </w:r>
            <w:proofErr w:type="spellEnd"/>
            <w:r w:rsidRPr="00390EA4">
              <w:t xml:space="preserve"> des ONG au </w:t>
            </w:r>
            <w:proofErr w:type="spellStart"/>
            <w:r w:rsidRPr="00390EA4">
              <w:t>niveau</w:t>
            </w:r>
            <w:proofErr w:type="spellEnd"/>
            <w:r w:rsidRPr="00390EA4">
              <w:t xml:space="preserve"> district</w:t>
            </w:r>
          </w:p>
          <w:p w14:paraId="716D43FD" w14:textId="77777777" w:rsidR="003C10DA" w:rsidRPr="00390EA4" w:rsidRDefault="003C10DA" w:rsidP="00390EA4">
            <w:pPr>
              <w:pStyle w:val="liste1"/>
            </w:pPr>
            <w:proofErr w:type="spellStart"/>
            <w:r w:rsidRPr="00390EA4">
              <w:t>Insuffisance</w:t>
            </w:r>
            <w:proofErr w:type="spellEnd"/>
            <w:r w:rsidRPr="00390EA4">
              <w:t xml:space="preserve"> de </w:t>
            </w:r>
            <w:proofErr w:type="spellStart"/>
            <w:r w:rsidRPr="00390EA4">
              <w:t>rétro</w:t>
            </w:r>
            <w:proofErr w:type="spellEnd"/>
            <w:r w:rsidRPr="00390EA4">
              <w:t xml:space="preserve"> information au </w:t>
            </w:r>
            <w:proofErr w:type="spellStart"/>
            <w:r w:rsidRPr="00390EA4">
              <w:t>niveau</w:t>
            </w:r>
            <w:proofErr w:type="spellEnd"/>
            <w:r w:rsidRPr="00390EA4">
              <w:t xml:space="preserve"> </w:t>
            </w:r>
            <w:proofErr w:type="spellStart"/>
            <w:r w:rsidRPr="00390EA4">
              <w:t>périphérique</w:t>
            </w:r>
            <w:proofErr w:type="spellEnd"/>
            <w:r w:rsidRPr="00390EA4">
              <w:t xml:space="preserve"> des </w:t>
            </w:r>
            <w:proofErr w:type="spellStart"/>
            <w:r w:rsidRPr="00390EA4">
              <w:t>données</w:t>
            </w:r>
            <w:proofErr w:type="spellEnd"/>
            <w:r w:rsidRPr="00390EA4">
              <w:t xml:space="preserve"> </w:t>
            </w:r>
            <w:proofErr w:type="spellStart"/>
            <w:r w:rsidRPr="00390EA4">
              <w:t>collectées</w:t>
            </w:r>
            <w:proofErr w:type="spellEnd"/>
          </w:p>
          <w:p w14:paraId="07D626F7" w14:textId="77777777" w:rsidR="003C10DA" w:rsidRPr="00390EA4" w:rsidRDefault="003C10DA" w:rsidP="00390EA4">
            <w:pPr>
              <w:pStyle w:val="liste1"/>
            </w:pPr>
            <w:proofErr w:type="spellStart"/>
            <w:r w:rsidRPr="00390EA4">
              <w:t>Insuffisance</w:t>
            </w:r>
            <w:proofErr w:type="spellEnd"/>
            <w:r w:rsidRPr="00390EA4">
              <w:t xml:space="preserve"> de </w:t>
            </w:r>
            <w:proofErr w:type="spellStart"/>
            <w:r w:rsidRPr="00390EA4">
              <w:t>ressources</w:t>
            </w:r>
            <w:proofErr w:type="spellEnd"/>
            <w:r w:rsidRPr="00390EA4">
              <w:t xml:space="preserve"> </w:t>
            </w:r>
            <w:proofErr w:type="spellStart"/>
            <w:r w:rsidRPr="00390EA4">
              <w:t>humaines</w:t>
            </w:r>
            <w:proofErr w:type="spellEnd"/>
            <w:r w:rsidRPr="00390EA4">
              <w:t xml:space="preserve"> pour le </w:t>
            </w:r>
            <w:proofErr w:type="spellStart"/>
            <w:r w:rsidRPr="00390EA4">
              <w:t>Suivi</w:t>
            </w:r>
            <w:proofErr w:type="spellEnd"/>
            <w:r w:rsidRPr="00390EA4">
              <w:t>-Evaluation</w:t>
            </w:r>
          </w:p>
        </w:tc>
      </w:tr>
      <w:tr w:rsidR="003C10DA" w:rsidRPr="0037522B" w14:paraId="21E52714" w14:textId="77777777" w:rsidTr="00DB293F">
        <w:trPr>
          <w:trHeight w:val="288"/>
        </w:trPr>
        <w:tc>
          <w:tcPr>
            <w:tcW w:w="811" w:type="pct"/>
            <w:shd w:val="clear" w:color="auto" w:fill="F2F2F2"/>
            <w:vAlign w:val="center"/>
          </w:tcPr>
          <w:p w14:paraId="7ACA798A" w14:textId="77777777" w:rsidR="003C10DA" w:rsidRPr="007F7A64" w:rsidRDefault="003C10DA" w:rsidP="00E80CEF">
            <w:pPr>
              <w:spacing w:after="0"/>
              <w:rPr>
                <w:b/>
              </w:rPr>
            </w:pPr>
            <w:proofErr w:type="spellStart"/>
            <w:r w:rsidRPr="007F7A64">
              <w:rPr>
                <w:b/>
                <w:lang w:bidi="fr-FR"/>
              </w:rPr>
              <w:t>Résultats</w:t>
            </w:r>
            <w:proofErr w:type="spellEnd"/>
            <w:r w:rsidRPr="007F7A64">
              <w:rPr>
                <w:b/>
                <w:lang w:bidi="fr-FR"/>
              </w:rPr>
              <w:t xml:space="preserve"> </w:t>
            </w:r>
            <w:proofErr w:type="spellStart"/>
            <w:r w:rsidRPr="007F7A64">
              <w:rPr>
                <w:b/>
                <w:lang w:bidi="fr-FR"/>
              </w:rPr>
              <w:t>attendus</w:t>
            </w:r>
            <w:proofErr w:type="spellEnd"/>
          </w:p>
        </w:tc>
        <w:tc>
          <w:tcPr>
            <w:tcW w:w="4189" w:type="pct"/>
          </w:tcPr>
          <w:p w14:paraId="44A5A62F" w14:textId="32D7D610" w:rsidR="003C10DA" w:rsidRPr="00750CA9" w:rsidRDefault="003C10DA" w:rsidP="00390EA4">
            <w:pPr>
              <w:pStyle w:val="Texteformulaire"/>
              <w:rPr>
                <w:rStyle w:val="IntenseEmphasis"/>
                <w:b w:val="0"/>
                <w:i w:val="0"/>
                <w:lang w:val="fr-FR"/>
              </w:rPr>
            </w:pPr>
            <w:r w:rsidRPr="00750CA9">
              <w:rPr>
                <w:rStyle w:val="IntenseEmphasis"/>
                <w:b w:val="0"/>
                <w:i w:val="0"/>
                <w:lang w:val="fr-FR"/>
              </w:rPr>
              <w:t>La gouvernance de la réponse au VIH/sida et aux IST est renforcée à tous les niveaux pour en assurer l’accélération, l'efficience, la redevabilité et la durabilité</w:t>
            </w:r>
            <w:r w:rsidR="003A71A0">
              <w:rPr>
                <w:rStyle w:val="IntenseEmphasis"/>
                <w:b w:val="0"/>
                <w:i w:val="0"/>
                <w:lang w:val="fr-FR"/>
              </w:rPr>
              <w:t>.</w:t>
            </w:r>
          </w:p>
        </w:tc>
      </w:tr>
      <w:tr w:rsidR="003C10DA" w:rsidRPr="007F7A64" w14:paraId="75328A35" w14:textId="77777777" w:rsidTr="00DB293F">
        <w:trPr>
          <w:trHeight w:val="288"/>
        </w:trPr>
        <w:tc>
          <w:tcPr>
            <w:tcW w:w="811" w:type="pct"/>
            <w:shd w:val="clear" w:color="auto" w:fill="F2F2F2"/>
            <w:vAlign w:val="center"/>
          </w:tcPr>
          <w:p w14:paraId="6F18E11C" w14:textId="77777777" w:rsidR="003C10DA" w:rsidRPr="00C44844" w:rsidRDefault="003C10DA" w:rsidP="00E80CEF">
            <w:pPr>
              <w:spacing w:after="0"/>
              <w:rPr>
                <w:b/>
              </w:rPr>
            </w:pPr>
            <w:proofErr w:type="spellStart"/>
            <w:r w:rsidRPr="007F7A64">
              <w:rPr>
                <w:b/>
                <w:lang w:bidi="fr-FR"/>
              </w:rPr>
              <w:t>Investissement</w:t>
            </w:r>
            <w:proofErr w:type="spellEnd"/>
            <w:r w:rsidRPr="007F7A64">
              <w:rPr>
                <w:b/>
                <w:lang w:bidi="fr-FR"/>
              </w:rPr>
              <w:t xml:space="preserve"> </w:t>
            </w:r>
            <w:proofErr w:type="spellStart"/>
            <w:r w:rsidRPr="007F7A64">
              <w:rPr>
                <w:b/>
                <w:lang w:bidi="fr-FR"/>
              </w:rPr>
              <w:t>attendu</w:t>
            </w:r>
            <w:proofErr w:type="spellEnd"/>
          </w:p>
        </w:tc>
        <w:tc>
          <w:tcPr>
            <w:tcW w:w="4189" w:type="pct"/>
          </w:tcPr>
          <w:p w14:paraId="2880EDE1" w14:textId="247319BC" w:rsidR="003C10DA" w:rsidRPr="00DB293F" w:rsidRDefault="0044115C" w:rsidP="00DB293F">
            <w:pPr>
              <w:pStyle w:val="Texteformulaire"/>
              <w:rPr>
                <w:b/>
                <w:bCs/>
              </w:rPr>
            </w:pPr>
            <w:r w:rsidRPr="002D0EC2">
              <w:rPr>
                <w:b/>
                <w:bCs/>
                <w:color w:val="FF0000"/>
              </w:rPr>
              <w:t>3</w:t>
            </w:r>
            <w:r w:rsidR="00DB293F" w:rsidRPr="002D0EC2">
              <w:rPr>
                <w:b/>
                <w:bCs/>
                <w:color w:val="FF0000"/>
              </w:rPr>
              <w:t xml:space="preserve"> </w:t>
            </w:r>
            <w:r w:rsidRPr="002D0EC2">
              <w:rPr>
                <w:b/>
                <w:bCs/>
                <w:color w:val="FF0000"/>
              </w:rPr>
              <w:t>315</w:t>
            </w:r>
            <w:r w:rsidR="00DB293F" w:rsidRPr="002D0EC2">
              <w:rPr>
                <w:b/>
                <w:bCs/>
                <w:color w:val="FF0000"/>
              </w:rPr>
              <w:t> </w:t>
            </w:r>
            <w:r w:rsidRPr="002D0EC2">
              <w:rPr>
                <w:b/>
                <w:bCs/>
                <w:color w:val="FF0000"/>
              </w:rPr>
              <w:t>985</w:t>
            </w:r>
            <w:r w:rsidR="00DB293F" w:rsidRPr="002D0EC2">
              <w:rPr>
                <w:b/>
                <w:bCs/>
                <w:color w:val="FF0000"/>
              </w:rPr>
              <w:t xml:space="preserve"> euros (4%)</w:t>
            </w:r>
          </w:p>
        </w:tc>
      </w:tr>
    </w:tbl>
    <w:p w14:paraId="3E083643" w14:textId="093BDD49" w:rsidR="003C10DA" w:rsidRDefault="003C10DA" w:rsidP="009B6C0D">
      <w:pPr>
        <w:spacing w:after="0"/>
      </w:pPr>
    </w:p>
    <w:p w14:paraId="58A50246" w14:textId="4D551F94" w:rsidR="003B2DAA" w:rsidRDefault="003B2DAA" w:rsidP="009B6C0D">
      <w:pPr>
        <w:spacing w:after="0"/>
      </w:pPr>
    </w:p>
    <w:p w14:paraId="3A68BD05" w14:textId="1BCD798D" w:rsidR="00F22610" w:rsidRPr="00D236CA" w:rsidRDefault="00F22610" w:rsidP="009B6C0D">
      <w:pPr>
        <w:spacing w:after="0" w:line="0" w:lineRule="auto"/>
        <w:rPr>
          <w:b/>
        </w:rPr>
      </w:pPr>
    </w:p>
    <w:p w14:paraId="152E54C8" w14:textId="113D1D2A" w:rsidR="0017600E" w:rsidRPr="00D236CA" w:rsidRDefault="0017600E" w:rsidP="00A140D5">
      <w:pPr>
        <w:pStyle w:val="ListParagraph"/>
        <w:numPr>
          <w:ilvl w:val="0"/>
          <w:numId w:val="20"/>
        </w:numPr>
        <w:spacing w:after="0" w:line="240" w:lineRule="auto"/>
        <w:ind w:left="450" w:hanging="450"/>
        <w:jc w:val="both"/>
      </w:pPr>
      <w:r w:rsidRPr="004F1255">
        <w:t xml:space="preserve">L’un ou plusieurs des aspects de cette demande de financement font-ils appel à la modalité de </w:t>
      </w:r>
      <w:r w:rsidRPr="004F1255">
        <w:rPr>
          <w:b/>
        </w:rPr>
        <w:t>paiement en fonction des résultats</w:t>
      </w:r>
      <w:r w:rsidRPr="004F1255">
        <w:t xml:space="preserve"> ? </w:t>
      </w:r>
    </w:p>
    <w:p w14:paraId="3970E730" w14:textId="77777777" w:rsidR="009B6C0D" w:rsidRPr="00D236CA" w:rsidRDefault="009B6C0D" w:rsidP="009B6C0D">
      <w:pPr>
        <w:pStyle w:val="ListParagraph"/>
        <w:spacing w:after="0" w:line="240" w:lineRule="auto"/>
        <w:ind w:left="450"/>
        <w:jc w:val="both"/>
      </w:pPr>
    </w:p>
    <w:p w14:paraId="2D773E12" w14:textId="48BC0657" w:rsidR="0017600E" w:rsidRPr="00D236CA" w:rsidRDefault="002B2F80" w:rsidP="009B6C0D">
      <w:pPr>
        <w:pStyle w:val="ListParagraph"/>
        <w:spacing w:after="0"/>
      </w:pPr>
      <w:sdt>
        <w:sdtPr>
          <w:rPr>
            <w:rFonts w:eastAsia="MS Gothic"/>
          </w:rPr>
          <w:id w:val="1477947221"/>
          <w14:checkbox>
            <w14:checked w14:val="0"/>
            <w14:checkedState w14:val="2612" w14:font="MS Gothic"/>
            <w14:uncheckedState w14:val="2610" w14:font="MS Gothic"/>
          </w14:checkbox>
        </w:sdtPr>
        <w:sdtEndPr>
          <w:rPr>
            <w:rFonts w:eastAsiaTheme="minorEastAsia"/>
          </w:rPr>
        </w:sdtEndPr>
        <w:sdtContent>
          <w:r w:rsidR="009B6C0D" w:rsidRPr="00E80CEF">
            <w:rPr>
              <w:rFonts w:ascii="MS Gothic" w:hAnsi="MS Gothic" w:hint="eastAsia"/>
            </w:rPr>
            <w:t>☐</w:t>
          </w:r>
        </w:sdtContent>
      </w:sdt>
      <w:r w:rsidR="0017600E" w:rsidRPr="00E80CEF">
        <w:t xml:space="preserve"> Oui         </w:t>
      </w:r>
      <w:sdt>
        <w:sdtPr>
          <w:id w:val="-1054162004"/>
          <w14:checkbox>
            <w14:checked w14:val="1"/>
            <w14:checkedState w14:val="2612" w14:font="MS Gothic"/>
            <w14:uncheckedState w14:val="2610" w14:font="MS Gothic"/>
          </w14:checkbox>
        </w:sdtPr>
        <w:sdtEndPr/>
        <w:sdtContent>
          <w:r w:rsidR="00C6707B" w:rsidRPr="00E80CEF">
            <w:rPr>
              <w:rFonts w:ascii="MS Gothic" w:hAnsi="MS Gothic" w:hint="eastAsia"/>
            </w:rPr>
            <w:t>☒</w:t>
          </w:r>
        </w:sdtContent>
      </w:sdt>
      <w:r w:rsidR="0017600E" w:rsidRPr="00E80CEF">
        <w:t xml:space="preserve"> Non</w:t>
      </w:r>
    </w:p>
    <w:p w14:paraId="296220E8" w14:textId="77777777" w:rsidR="009B6C0D" w:rsidRPr="00D236CA" w:rsidRDefault="009B6C0D" w:rsidP="009B6C0D">
      <w:pPr>
        <w:pStyle w:val="ListParagraph"/>
        <w:spacing w:after="0"/>
      </w:pPr>
    </w:p>
    <w:p w14:paraId="529501F8" w14:textId="327039E2" w:rsidR="0017600E" w:rsidRPr="00750CA9" w:rsidRDefault="0017600E" w:rsidP="009B6C0D">
      <w:pPr>
        <w:tabs>
          <w:tab w:val="left" w:pos="360"/>
        </w:tabs>
        <w:spacing w:after="0" w:line="240" w:lineRule="auto"/>
        <w:ind w:left="360"/>
        <w:jc w:val="both"/>
        <w:rPr>
          <w:rFonts w:ascii="Arial" w:hAnsi="Arial"/>
          <w:sz w:val="22"/>
        </w:rPr>
      </w:pPr>
      <w:r w:rsidRPr="00B271DB">
        <w:t xml:space="preserve">Si </w:t>
      </w:r>
      <w:r w:rsidRPr="00B271DB">
        <w:rPr>
          <w:b/>
        </w:rPr>
        <w:t>oui</w:t>
      </w:r>
      <w:r w:rsidRPr="00B271DB">
        <w:t xml:space="preserve">, indiquer dans le tableau ci-dessous les indicateurs de résultats correspondants et les raisons qui justifient le choix de ces indicateurs ou jalons. </w:t>
      </w:r>
    </w:p>
    <w:p w14:paraId="16695AA9" w14:textId="77777777" w:rsidR="009B6C0D" w:rsidRPr="00D236CA" w:rsidRDefault="009B6C0D" w:rsidP="009B6C0D">
      <w:pPr>
        <w:tabs>
          <w:tab w:val="left" w:pos="360"/>
        </w:tabs>
        <w:spacing w:after="0" w:line="240" w:lineRule="auto"/>
        <w:ind w:left="360"/>
        <w:jc w:val="both"/>
      </w:pPr>
    </w:p>
    <w:tbl>
      <w:tblPr>
        <w:tblW w:w="10916"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127"/>
        <w:gridCol w:w="1334"/>
        <w:gridCol w:w="1183"/>
        <w:gridCol w:w="1183"/>
        <w:gridCol w:w="1184"/>
        <w:gridCol w:w="1170"/>
        <w:gridCol w:w="2735"/>
      </w:tblGrid>
      <w:tr w:rsidR="0017600E" w:rsidRPr="0037522B" w14:paraId="7A5003C1" w14:textId="77777777" w:rsidTr="00D1577B">
        <w:trPr>
          <w:trHeight w:val="323"/>
        </w:trPr>
        <w:tc>
          <w:tcPr>
            <w:tcW w:w="2127" w:type="dxa"/>
            <w:vMerge w:val="restart"/>
            <w:tcBorders>
              <w:top w:val="single" w:sz="4" w:space="0" w:color="808080" w:themeColor="background1" w:themeShade="80"/>
              <w:left w:val="single" w:sz="4" w:space="0" w:color="808080" w:themeColor="background1" w:themeShade="80"/>
            </w:tcBorders>
            <w:shd w:val="clear" w:color="auto" w:fill="D9D9D9" w:themeFill="background1" w:themeFillShade="D9"/>
            <w:vAlign w:val="center"/>
          </w:tcPr>
          <w:p w14:paraId="009401FC" w14:textId="77777777" w:rsidR="0017600E" w:rsidRPr="00D236CA" w:rsidRDefault="0017600E" w:rsidP="009B6C0D">
            <w:pPr>
              <w:spacing w:after="0"/>
              <w:jc w:val="center"/>
              <w:rPr>
                <w:b/>
              </w:rPr>
            </w:pPr>
            <w:r w:rsidRPr="00EC4612">
              <w:rPr>
                <w:b/>
              </w:rPr>
              <w:t>Indicateur de résultat ou jalon</w:t>
            </w:r>
          </w:p>
        </w:tc>
        <w:tc>
          <w:tcPr>
            <w:tcW w:w="4884" w:type="dxa"/>
            <w:gridSpan w:val="4"/>
            <w:tcBorders>
              <w:top w:val="single" w:sz="4" w:space="0" w:color="808080" w:themeColor="background1" w:themeShade="80"/>
            </w:tcBorders>
            <w:shd w:val="clear" w:color="auto" w:fill="D9D9D9" w:themeFill="background1" w:themeFillShade="D9"/>
            <w:vAlign w:val="center"/>
          </w:tcPr>
          <w:p w14:paraId="491CC317" w14:textId="77777777" w:rsidR="0017600E" w:rsidRPr="00EC4612" w:rsidRDefault="0017600E" w:rsidP="009B6C0D">
            <w:pPr>
              <w:spacing w:after="0"/>
              <w:jc w:val="center"/>
              <w:rPr>
                <w:rFonts w:ascii="Arial" w:eastAsiaTheme="minorHAnsi" w:hAnsi="Arial"/>
                <w:b/>
                <w:sz w:val="22"/>
                <w:szCs w:val="22"/>
                <w:lang w:val="en-US"/>
              </w:rPr>
            </w:pPr>
            <w:r w:rsidRPr="00EC4612">
              <w:rPr>
                <w:b/>
              </w:rPr>
              <w:t>Cible</w:t>
            </w:r>
          </w:p>
        </w:tc>
        <w:tc>
          <w:tcPr>
            <w:tcW w:w="3905" w:type="dxa"/>
            <w:gridSpan w:val="2"/>
            <w:vMerge w:val="restart"/>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751914" w14:textId="77777777" w:rsidR="0017600E" w:rsidRPr="00D236CA" w:rsidRDefault="0017600E" w:rsidP="009B6C0D">
            <w:pPr>
              <w:spacing w:after="0"/>
              <w:jc w:val="center"/>
              <w:rPr>
                <w:b/>
              </w:rPr>
            </w:pPr>
            <w:r w:rsidRPr="00E80CEF">
              <w:rPr>
                <w:b/>
              </w:rPr>
              <w:t>Justification du choix de l’indicateur/du jalon pour le financ</w:t>
            </w:r>
            <w:r w:rsidRPr="00EC4612">
              <w:rPr>
                <w:b/>
              </w:rPr>
              <w:t>ement du Fonds mondial</w:t>
            </w:r>
          </w:p>
        </w:tc>
      </w:tr>
      <w:tr w:rsidR="0017600E" w:rsidRPr="005305D5" w14:paraId="7291844D" w14:textId="77777777" w:rsidTr="00D1577B">
        <w:trPr>
          <w:trHeight w:val="322"/>
        </w:trPr>
        <w:tc>
          <w:tcPr>
            <w:tcW w:w="2127" w:type="dxa"/>
            <w:vMerge/>
            <w:tcBorders>
              <w:left w:val="single" w:sz="4" w:space="0" w:color="808080" w:themeColor="background1" w:themeShade="80"/>
            </w:tcBorders>
            <w:shd w:val="clear" w:color="auto" w:fill="F2F2F2" w:themeFill="background1" w:themeFillShade="F2"/>
            <w:vAlign w:val="center"/>
          </w:tcPr>
          <w:p w14:paraId="6AAD0E1A" w14:textId="77777777" w:rsidR="0017600E" w:rsidRPr="00D236CA" w:rsidRDefault="0017600E" w:rsidP="009B6C0D">
            <w:pPr>
              <w:spacing w:after="0"/>
            </w:pPr>
          </w:p>
        </w:tc>
        <w:tc>
          <w:tcPr>
            <w:tcW w:w="1334" w:type="dxa"/>
            <w:shd w:val="clear" w:color="auto" w:fill="D9D9D9" w:themeFill="background1" w:themeFillShade="D9"/>
            <w:vAlign w:val="center"/>
          </w:tcPr>
          <w:p w14:paraId="0C02F98E" w14:textId="77777777" w:rsidR="0017600E" w:rsidRPr="00EC4612" w:rsidRDefault="0017600E" w:rsidP="009B6C0D">
            <w:pPr>
              <w:spacing w:after="0"/>
              <w:jc w:val="center"/>
              <w:rPr>
                <w:rFonts w:ascii="Arial" w:eastAsiaTheme="minorHAnsi" w:hAnsi="Arial"/>
                <w:b/>
                <w:sz w:val="22"/>
                <w:szCs w:val="22"/>
                <w:lang w:val="en-US"/>
              </w:rPr>
            </w:pPr>
            <w:r w:rsidRPr="00EC4612">
              <w:rPr>
                <w:b/>
              </w:rPr>
              <w:t>Valeur de référence</w:t>
            </w:r>
          </w:p>
        </w:tc>
        <w:tc>
          <w:tcPr>
            <w:tcW w:w="1183" w:type="dxa"/>
            <w:shd w:val="clear" w:color="auto" w:fill="D9D9D9" w:themeFill="background1" w:themeFillShade="D9"/>
            <w:vAlign w:val="center"/>
          </w:tcPr>
          <w:p w14:paraId="692C6498" w14:textId="77777777" w:rsidR="0017600E" w:rsidRPr="00EC4612" w:rsidRDefault="0017600E" w:rsidP="009B6C0D">
            <w:pPr>
              <w:spacing w:after="0"/>
              <w:jc w:val="center"/>
              <w:rPr>
                <w:b/>
              </w:rPr>
            </w:pPr>
            <w:r w:rsidRPr="00E80CEF">
              <w:rPr>
                <w:b/>
              </w:rPr>
              <w:t>Année 1</w:t>
            </w:r>
          </w:p>
        </w:tc>
        <w:tc>
          <w:tcPr>
            <w:tcW w:w="1183" w:type="dxa"/>
            <w:shd w:val="clear" w:color="auto" w:fill="D9D9D9" w:themeFill="background1" w:themeFillShade="D9"/>
            <w:vAlign w:val="center"/>
          </w:tcPr>
          <w:p w14:paraId="671C1B45" w14:textId="77777777" w:rsidR="0017600E" w:rsidRPr="00EC4612" w:rsidRDefault="0017600E" w:rsidP="009B6C0D">
            <w:pPr>
              <w:spacing w:after="0"/>
              <w:jc w:val="center"/>
              <w:rPr>
                <w:b/>
              </w:rPr>
            </w:pPr>
            <w:r w:rsidRPr="00E80CEF">
              <w:rPr>
                <w:b/>
              </w:rPr>
              <w:t>Année 2</w:t>
            </w:r>
          </w:p>
        </w:tc>
        <w:tc>
          <w:tcPr>
            <w:tcW w:w="1184" w:type="dxa"/>
            <w:shd w:val="clear" w:color="auto" w:fill="D9D9D9" w:themeFill="background1" w:themeFillShade="D9"/>
            <w:vAlign w:val="center"/>
          </w:tcPr>
          <w:p w14:paraId="3C4F102A" w14:textId="77777777" w:rsidR="0017600E" w:rsidRPr="00EC4612" w:rsidRDefault="0017600E" w:rsidP="009B6C0D">
            <w:pPr>
              <w:spacing w:after="0"/>
              <w:jc w:val="center"/>
              <w:rPr>
                <w:b/>
              </w:rPr>
            </w:pPr>
            <w:r w:rsidRPr="00E80CEF">
              <w:rPr>
                <w:b/>
              </w:rPr>
              <w:t>Année 3</w:t>
            </w:r>
          </w:p>
        </w:tc>
        <w:tc>
          <w:tcPr>
            <w:tcW w:w="3905" w:type="dxa"/>
            <w:gridSpan w:val="2"/>
            <w:vMerge/>
            <w:tcBorders>
              <w:right w:val="single" w:sz="4" w:space="0" w:color="808080" w:themeColor="background1" w:themeShade="80"/>
            </w:tcBorders>
            <w:shd w:val="clear" w:color="auto" w:fill="F2F2F2" w:themeFill="background1" w:themeFillShade="F2"/>
          </w:tcPr>
          <w:p w14:paraId="402BFCE4" w14:textId="77777777" w:rsidR="0017600E" w:rsidRPr="005305D5" w:rsidRDefault="0017600E" w:rsidP="009B6C0D">
            <w:pPr>
              <w:spacing w:after="0"/>
            </w:pPr>
          </w:p>
        </w:tc>
      </w:tr>
      <w:tr w:rsidR="0017600E" w:rsidRPr="005305D5" w14:paraId="39980912" w14:textId="77777777" w:rsidTr="00D1577B">
        <w:trPr>
          <w:trHeight w:val="522"/>
        </w:trPr>
        <w:tc>
          <w:tcPr>
            <w:tcW w:w="2127" w:type="dxa"/>
            <w:tcBorders>
              <w:left w:val="single" w:sz="4" w:space="0" w:color="808080" w:themeColor="background1" w:themeShade="80"/>
            </w:tcBorders>
            <w:vAlign w:val="center"/>
          </w:tcPr>
          <w:p w14:paraId="538D7721" w14:textId="77777777" w:rsidR="0017600E" w:rsidRPr="005305D5" w:rsidRDefault="0017600E" w:rsidP="009B6C0D">
            <w:pPr>
              <w:pStyle w:val="ListParagraph"/>
              <w:spacing w:after="0"/>
            </w:pPr>
          </w:p>
        </w:tc>
        <w:tc>
          <w:tcPr>
            <w:tcW w:w="1334" w:type="dxa"/>
            <w:shd w:val="clear" w:color="auto" w:fill="FFFFFF" w:themeFill="text2" w:themeFillTint="33"/>
            <w:vAlign w:val="center"/>
          </w:tcPr>
          <w:p w14:paraId="75202240"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6CCED55A"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55DBD14F" w14:textId="77777777" w:rsidR="0017600E" w:rsidRPr="005305D5" w:rsidRDefault="0017600E" w:rsidP="009B6C0D">
            <w:pPr>
              <w:pStyle w:val="ListParagraph"/>
              <w:spacing w:after="0"/>
            </w:pPr>
          </w:p>
        </w:tc>
        <w:tc>
          <w:tcPr>
            <w:tcW w:w="1184" w:type="dxa"/>
            <w:shd w:val="clear" w:color="auto" w:fill="FFFFFF" w:themeFill="text2" w:themeFillTint="33"/>
            <w:vAlign w:val="center"/>
          </w:tcPr>
          <w:p w14:paraId="6CF9A807" w14:textId="77777777" w:rsidR="0017600E" w:rsidRPr="005305D5" w:rsidRDefault="0017600E" w:rsidP="009B6C0D">
            <w:pPr>
              <w:pStyle w:val="ListParagraph"/>
              <w:spacing w:after="0"/>
            </w:pPr>
          </w:p>
        </w:tc>
        <w:tc>
          <w:tcPr>
            <w:tcW w:w="3905" w:type="dxa"/>
            <w:gridSpan w:val="2"/>
            <w:tcBorders>
              <w:right w:val="single" w:sz="4" w:space="0" w:color="808080" w:themeColor="background1" w:themeShade="80"/>
            </w:tcBorders>
            <w:vAlign w:val="center"/>
          </w:tcPr>
          <w:p w14:paraId="40AFF6B3" w14:textId="77777777" w:rsidR="0017600E" w:rsidRPr="005305D5" w:rsidRDefault="0017600E" w:rsidP="009B6C0D">
            <w:pPr>
              <w:spacing w:after="0"/>
            </w:pPr>
          </w:p>
        </w:tc>
      </w:tr>
      <w:tr w:rsidR="0017600E" w:rsidRPr="005305D5" w14:paraId="724B5D76" w14:textId="77777777" w:rsidTr="00D1577B">
        <w:trPr>
          <w:trHeight w:val="559"/>
        </w:trPr>
        <w:tc>
          <w:tcPr>
            <w:tcW w:w="2127" w:type="dxa"/>
            <w:tcBorders>
              <w:left w:val="single" w:sz="4" w:space="0" w:color="808080" w:themeColor="background1" w:themeShade="80"/>
            </w:tcBorders>
            <w:vAlign w:val="center"/>
          </w:tcPr>
          <w:p w14:paraId="18A0BB6D" w14:textId="77777777" w:rsidR="0017600E" w:rsidRPr="005305D5" w:rsidRDefault="0017600E" w:rsidP="009B6C0D">
            <w:pPr>
              <w:pStyle w:val="ListParagraph"/>
              <w:spacing w:after="0"/>
            </w:pPr>
          </w:p>
        </w:tc>
        <w:tc>
          <w:tcPr>
            <w:tcW w:w="1334" w:type="dxa"/>
            <w:shd w:val="clear" w:color="auto" w:fill="FFFFFF" w:themeFill="text2" w:themeFillTint="33"/>
            <w:vAlign w:val="center"/>
          </w:tcPr>
          <w:p w14:paraId="69430DCD"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4C755D12"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4D804F15" w14:textId="77777777" w:rsidR="0017600E" w:rsidRPr="005305D5" w:rsidRDefault="0017600E" w:rsidP="009B6C0D">
            <w:pPr>
              <w:pStyle w:val="ListParagraph"/>
              <w:spacing w:after="0"/>
            </w:pPr>
          </w:p>
        </w:tc>
        <w:tc>
          <w:tcPr>
            <w:tcW w:w="1184" w:type="dxa"/>
            <w:shd w:val="clear" w:color="auto" w:fill="FFFFFF" w:themeFill="text2" w:themeFillTint="33"/>
            <w:vAlign w:val="center"/>
          </w:tcPr>
          <w:p w14:paraId="4E66C6C6" w14:textId="77777777" w:rsidR="0017600E" w:rsidRPr="005305D5" w:rsidRDefault="0017600E" w:rsidP="009B6C0D">
            <w:pPr>
              <w:pStyle w:val="ListParagraph"/>
              <w:spacing w:after="0"/>
            </w:pPr>
          </w:p>
        </w:tc>
        <w:tc>
          <w:tcPr>
            <w:tcW w:w="3905" w:type="dxa"/>
            <w:gridSpan w:val="2"/>
            <w:tcBorders>
              <w:right w:val="single" w:sz="4" w:space="0" w:color="808080" w:themeColor="background1" w:themeShade="80"/>
            </w:tcBorders>
            <w:vAlign w:val="center"/>
          </w:tcPr>
          <w:p w14:paraId="57E47438" w14:textId="77777777" w:rsidR="0017600E" w:rsidRPr="005305D5" w:rsidRDefault="0017600E" w:rsidP="009B6C0D">
            <w:pPr>
              <w:spacing w:after="0"/>
            </w:pPr>
          </w:p>
        </w:tc>
      </w:tr>
      <w:tr w:rsidR="0017600E" w:rsidRPr="00E2627C" w14:paraId="6B767103" w14:textId="77777777" w:rsidTr="00D1577B">
        <w:trPr>
          <w:trHeight w:val="553"/>
        </w:trPr>
        <w:tc>
          <w:tcPr>
            <w:tcW w:w="2127" w:type="dxa"/>
            <w:tcBorders>
              <w:left w:val="single" w:sz="4" w:space="0" w:color="808080" w:themeColor="background1" w:themeShade="80"/>
            </w:tcBorders>
            <w:vAlign w:val="center"/>
          </w:tcPr>
          <w:p w14:paraId="504D5EE5" w14:textId="77777777" w:rsidR="0017600E" w:rsidRPr="00D236CA" w:rsidRDefault="0017600E" w:rsidP="009B6C0D">
            <w:pPr>
              <w:pStyle w:val="ListParagraph"/>
              <w:spacing w:after="0"/>
              <w:rPr>
                <w:b/>
                <w:i/>
              </w:rPr>
            </w:pPr>
            <w:r w:rsidRPr="00E80CEF">
              <w:t>Ajouter des lignes si nécessaire</w:t>
            </w:r>
          </w:p>
        </w:tc>
        <w:tc>
          <w:tcPr>
            <w:tcW w:w="1334" w:type="dxa"/>
            <w:shd w:val="clear" w:color="auto" w:fill="FFFFFF" w:themeFill="text2" w:themeFillTint="33"/>
            <w:vAlign w:val="center"/>
          </w:tcPr>
          <w:p w14:paraId="433E47BD" w14:textId="77777777" w:rsidR="0017600E" w:rsidRPr="00D236CA" w:rsidRDefault="0017600E" w:rsidP="009B6C0D">
            <w:pPr>
              <w:pStyle w:val="ListParagraph"/>
              <w:spacing w:after="0"/>
            </w:pPr>
          </w:p>
        </w:tc>
        <w:tc>
          <w:tcPr>
            <w:tcW w:w="1183" w:type="dxa"/>
            <w:shd w:val="clear" w:color="auto" w:fill="FFFFFF" w:themeFill="text2" w:themeFillTint="33"/>
            <w:vAlign w:val="center"/>
          </w:tcPr>
          <w:p w14:paraId="4753019D" w14:textId="77777777" w:rsidR="0017600E" w:rsidRPr="00D236CA" w:rsidRDefault="0017600E" w:rsidP="009B6C0D">
            <w:pPr>
              <w:pStyle w:val="ListParagraph"/>
              <w:spacing w:after="0"/>
            </w:pPr>
          </w:p>
        </w:tc>
        <w:tc>
          <w:tcPr>
            <w:tcW w:w="1183" w:type="dxa"/>
            <w:shd w:val="clear" w:color="auto" w:fill="FFFFFF" w:themeFill="text2" w:themeFillTint="33"/>
            <w:vAlign w:val="center"/>
          </w:tcPr>
          <w:p w14:paraId="5671C9B6" w14:textId="77777777" w:rsidR="0017600E" w:rsidRPr="00D236CA" w:rsidRDefault="0017600E" w:rsidP="009B6C0D">
            <w:pPr>
              <w:pStyle w:val="ListParagraph"/>
              <w:spacing w:after="0"/>
            </w:pPr>
          </w:p>
        </w:tc>
        <w:tc>
          <w:tcPr>
            <w:tcW w:w="1184" w:type="dxa"/>
            <w:shd w:val="clear" w:color="auto" w:fill="FFFFFF" w:themeFill="text2" w:themeFillTint="33"/>
            <w:vAlign w:val="center"/>
          </w:tcPr>
          <w:p w14:paraId="6654379D" w14:textId="77777777" w:rsidR="0017600E" w:rsidRPr="00D236CA" w:rsidRDefault="0017600E" w:rsidP="009B6C0D">
            <w:pPr>
              <w:pStyle w:val="ListParagraph"/>
              <w:spacing w:after="0"/>
            </w:pPr>
          </w:p>
        </w:tc>
        <w:tc>
          <w:tcPr>
            <w:tcW w:w="3905" w:type="dxa"/>
            <w:gridSpan w:val="2"/>
            <w:tcBorders>
              <w:right w:val="single" w:sz="4" w:space="0" w:color="808080" w:themeColor="background1" w:themeShade="80"/>
            </w:tcBorders>
            <w:vAlign w:val="center"/>
          </w:tcPr>
          <w:p w14:paraId="47E65C79" w14:textId="77777777" w:rsidR="0017600E" w:rsidRPr="00D236CA" w:rsidRDefault="0017600E" w:rsidP="009B6C0D">
            <w:pPr>
              <w:spacing w:after="0"/>
            </w:pPr>
          </w:p>
        </w:tc>
      </w:tr>
      <w:tr w:rsidR="004F1255" w:rsidRPr="00E2627C" w14:paraId="6CDAB9C2" w14:textId="77777777" w:rsidTr="00D1577B">
        <w:trPr>
          <w:trHeight w:val="553"/>
        </w:trPr>
        <w:tc>
          <w:tcPr>
            <w:tcW w:w="8181" w:type="dxa"/>
            <w:gridSpan w:val="6"/>
            <w:tcBorders>
              <w:left w:val="single" w:sz="4" w:space="0" w:color="808080" w:themeColor="background1" w:themeShade="80"/>
            </w:tcBorders>
            <w:shd w:val="clear" w:color="auto" w:fill="D9D9D9" w:themeFill="background1" w:themeFillShade="D9"/>
            <w:vAlign w:val="center"/>
          </w:tcPr>
          <w:p w14:paraId="74B19AC5" w14:textId="611E65D4" w:rsidR="004F1255" w:rsidRPr="00D236CA" w:rsidRDefault="004F1255" w:rsidP="009B6C0D">
            <w:pPr>
              <w:spacing w:after="0"/>
              <w:jc w:val="right"/>
              <w:rPr>
                <w:b/>
              </w:rPr>
            </w:pPr>
            <w:r w:rsidRPr="00E80CEF">
              <w:rPr>
                <w:b/>
              </w:rPr>
              <w:t>Montant total demandé au Fonds mondial</w:t>
            </w:r>
          </w:p>
        </w:tc>
        <w:tc>
          <w:tcPr>
            <w:tcW w:w="2735" w:type="dxa"/>
            <w:tcBorders>
              <w:right w:val="single" w:sz="4" w:space="0" w:color="808080" w:themeColor="background1" w:themeShade="80"/>
            </w:tcBorders>
            <w:vAlign w:val="center"/>
          </w:tcPr>
          <w:p w14:paraId="5C8B737F" w14:textId="77777777" w:rsidR="004F1255" w:rsidRPr="00D236CA" w:rsidRDefault="004F1255" w:rsidP="009B6C0D">
            <w:pPr>
              <w:spacing w:after="0"/>
            </w:pPr>
          </w:p>
        </w:tc>
      </w:tr>
    </w:tbl>
    <w:p w14:paraId="28F68CEF" w14:textId="0AED47F2" w:rsidR="00DE1608" w:rsidRPr="00E80CEF" w:rsidRDefault="00DE1608" w:rsidP="00A54AAB">
      <w:pPr>
        <w:spacing w:after="0" w:line="260" w:lineRule="atLeast"/>
      </w:pPr>
    </w:p>
    <w:p w14:paraId="4438AAD6" w14:textId="77777777" w:rsidR="007346DA" w:rsidRPr="00750CA9" w:rsidRDefault="007346DA" w:rsidP="007346DA">
      <w:pPr>
        <w:autoSpaceDE w:val="0"/>
        <w:autoSpaceDN w:val="0"/>
        <w:spacing w:after="0" w:line="240" w:lineRule="auto"/>
        <w:rPr>
          <w:rFonts w:ascii="Arial" w:hAnsi="Arial"/>
          <w:sz w:val="22"/>
        </w:rPr>
      </w:pPr>
      <w:r>
        <w:t>Préciser comment l’exactitude et la fiabilité des résultats communiqués seront garanties.</w:t>
      </w:r>
    </w:p>
    <w:p w14:paraId="0DEB256B" w14:textId="77777777" w:rsidR="0059650E" w:rsidRPr="00D236CA" w:rsidRDefault="0059650E" w:rsidP="00A54AAB">
      <w:pPr>
        <w:spacing w:after="0" w:line="260" w:lineRule="atLeast"/>
      </w:pPr>
    </w:p>
    <w:tbl>
      <w:tblPr>
        <w:tblStyle w:val="TableGrid"/>
        <w:tblW w:w="0" w:type="auto"/>
        <w:tblLook w:val="04A0" w:firstRow="1" w:lastRow="0" w:firstColumn="1" w:lastColumn="0" w:noHBand="0" w:noVBand="1"/>
      </w:tblPr>
      <w:tblGrid>
        <w:gridCol w:w="10456"/>
      </w:tblGrid>
      <w:tr w:rsidR="0059650E" w:rsidRPr="005305D5" w14:paraId="6E77E224" w14:textId="77777777" w:rsidTr="00546000">
        <w:tc>
          <w:tcPr>
            <w:tcW w:w="10790" w:type="dxa"/>
          </w:tcPr>
          <w:p w14:paraId="360B66EA" w14:textId="4C761D53" w:rsidR="0059650E" w:rsidRPr="00750CA9" w:rsidRDefault="003A79C4" w:rsidP="00A64686">
            <w:pPr>
              <w:spacing w:after="0"/>
              <w:rPr>
                <w:b/>
              </w:rPr>
            </w:pPr>
            <w:r w:rsidRPr="00750CA9">
              <w:rPr>
                <w:i/>
                <w:iCs/>
              </w:rPr>
              <w:t>Sans objet</w:t>
            </w:r>
          </w:p>
        </w:tc>
      </w:tr>
    </w:tbl>
    <w:p w14:paraId="1CB2D38F" w14:textId="082B75B1" w:rsidR="0059650E" w:rsidRPr="00A54AAB" w:rsidRDefault="0059650E" w:rsidP="00A54AAB">
      <w:pPr>
        <w:spacing w:after="0" w:line="260" w:lineRule="atLeast"/>
        <w:rPr>
          <w:rFonts w:eastAsia="Calibri"/>
        </w:rPr>
      </w:pPr>
    </w:p>
    <w:p w14:paraId="576873EB" w14:textId="5031B8F0" w:rsidR="009B6C0D" w:rsidRPr="00D236CA" w:rsidRDefault="00DE5CEF" w:rsidP="00A140D5">
      <w:pPr>
        <w:pStyle w:val="ListParagraph"/>
        <w:numPr>
          <w:ilvl w:val="0"/>
          <w:numId w:val="20"/>
        </w:numPr>
        <w:spacing w:after="0" w:line="260" w:lineRule="atLeast"/>
        <w:ind w:left="450" w:hanging="450"/>
      </w:pPr>
      <w:bookmarkStart w:id="22" w:name="_Hlk11416730"/>
      <w:r w:rsidRPr="00E80CEF">
        <w:rPr>
          <w:b/>
        </w:rPr>
        <w:t xml:space="preserve">Possibilités d’intégration – </w:t>
      </w:r>
      <w:r w:rsidRPr="004F1255">
        <w:t xml:space="preserve">Expliquer en quoi les investissements proposés tiennent compte : </w:t>
      </w:r>
    </w:p>
    <w:p w14:paraId="343949A2" w14:textId="4DD70980" w:rsidR="00DE5CEF" w:rsidRPr="00D236CA" w:rsidRDefault="006D0956" w:rsidP="00A140D5">
      <w:pPr>
        <w:pStyle w:val="ListParagraph"/>
        <w:numPr>
          <w:ilvl w:val="0"/>
          <w:numId w:val="27"/>
        </w:numPr>
        <w:spacing w:after="0" w:line="260" w:lineRule="atLeast"/>
      </w:pPr>
      <w:proofErr w:type="gramStart"/>
      <w:r>
        <w:lastRenderedPageBreak/>
        <w:t>des</w:t>
      </w:r>
      <w:proofErr w:type="gramEnd"/>
      <w:r>
        <w:t xml:space="preserve"> besoins des programmes de lutte contre les trois maladies et des autres programmes de santé connexes ; </w:t>
      </w:r>
    </w:p>
    <w:p w14:paraId="14CA95A9" w14:textId="5D33D270" w:rsidR="00DE5CEF" w:rsidRPr="00D236CA" w:rsidRDefault="006D0956" w:rsidP="00A140D5">
      <w:pPr>
        <w:pStyle w:val="ListParagraph"/>
        <w:numPr>
          <w:ilvl w:val="0"/>
          <w:numId w:val="27"/>
        </w:numPr>
        <w:spacing w:after="0" w:line="260" w:lineRule="atLeast"/>
      </w:pPr>
      <w:proofErr w:type="gramStart"/>
      <w:r>
        <w:t>des</w:t>
      </w:r>
      <w:proofErr w:type="gramEnd"/>
      <w:r>
        <w:t xml:space="preserve"> liens avec les systèmes de santé généraux pour améliorer les résultats de la lutte contre les maladies, et l’efficience et la pérennité des programmes. </w:t>
      </w:r>
    </w:p>
    <w:p w14:paraId="281D0B40" w14:textId="77777777" w:rsidR="009B6C0D" w:rsidRPr="00D236CA" w:rsidRDefault="009B6C0D" w:rsidP="009B6C0D">
      <w:pPr>
        <w:pStyle w:val="ListParagraph"/>
        <w:spacing w:after="0" w:line="260" w:lineRule="atLeast"/>
        <w:ind w:left="1440"/>
      </w:pPr>
    </w:p>
    <w:tbl>
      <w:tblPr>
        <w:tblStyle w:val="TableGrid"/>
        <w:tblW w:w="0" w:type="auto"/>
        <w:tblLook w:val="04A0" w:firstRow="1" w:lastRow="0" w:firstColumn="1" w:lastColumn="0" w:noHBand="0" w:noVBand="1"/>
      </w:tblPr>
      <w:tblGrid>
        <w:gridCol w:w="10456"/>
      </w:tblGrid>
      <w:tr w:rsidR="00DE5CEF" w:rsidRPr="00423DE9" w14:paraId="3E9BC23D" w14:textId="77777777" w:rsidTr="007543E4">
        <w:tc>
          <w:tcPr>
            <w:tcW w:w="10790" w:type="dxa"/>
          </w:tcPr>
          <w:p w14:paraId="217DA3CC" w14:textId="5D528187" w:rsidR="000F3719" w:rsidRDefault="00B64636" w:rsidP="000F3719">
            <w:pPr>
              <w:pStyle w:val="Texteformulaire"/>
              <w:rPr>
                <w:lang w:bidi="fr-FR"/>
              </w:rPr>
            </w:pPr>
            <w:bookmarkStart w:id="23" w:name="_Hlk15391278"/>
            <w:r>
              <w:rPr>
                <w:lang w:bidi="fr-FR"/>
              </w:rPr>
              <w:t xml:space="preserve">Le </w:t>
            </w:r>
            <w:proofErr w:type="spellStart"/>
            <w:r>
              <w:rPr>
                <w:lang w:bidi="fr-FR"/>
              </w:rPr>
              <w:t>processus</w:t>
            </w:r>
            <w:proofErr w:type="spellEnd"/>
            <w:r>
              <w:rPr>
                <w:lang w:bidi="fr-FR"/>
              </w:rPr>
              <w:t xml:space="preserve"> </w:t>
            </w:r>
            <w:proofErr w:type="spellStart"/>
            <w:r w:rsidR="000F3719">
              <w:rPr>
                <w:lang w:bidi="fr-FR"/>
              </w:rPr>
              <w:t>d’élaboration</w:t>
            </w:r>
            <w:proofErr w:type="spellEnd"/>
            <w:r w:rsidR="000F3719">
              <w:rPr>
                <w:lang w:bidi="fr-FR"/>
              </w:rPr>
              <w:t xml:space="preserve"> de la </w:t>
            </w:r>
            <w:proofErr w:type="spellStart"/>
            <w:r w:rsidR="000F3719">
              <w:rPr>
                <w:lang w:bidi="fr-FR"/>
              </w:rPr>
              <w:t>demande</w:t>
            </w:r>
            <w:proofErr w:type="spellEnd"/>
            <w:r w:rsidR="000F3719">
              <w:rPr>
                <w:lang w:bidi="fr-FR"/>
              </w:rPr>
              <w:t xml:space="preserve"> de </w:t>
            </w:r>
            <w:proofErr w:type="spellStart"/>
            <w:r w:rsidR="000F3719">
              <w:rPr>
                <w:lang w:bidi="fr-FR"/>
              </w:rPr>
              <w:t>financement</w:t>
            </w:r>
            <w:proofErr w:type="spellEnd"/>
            <w:r>
              <w:rPr>
                <w:lang w:bidi="fr-FR"/>
              </w:rPr>
              <w:t xml:space="preserve"> a </w:t>
            </w:r>
            <w:proofErr w:type="spellStart"/>
            <w:r>
              <w:rPr>
                <w:lang w:bidi="fr-FR"/>
              </w:rPr>
              <w:t>été</w:t>
            </w:r>
            <w:proofErr w:type="spellEnd"/>
            <w:r>
              <w:rPr>
                <w:lang w:bidi="fr-FR"/>
              </w:rPr>
              <w:t xml:space="preserve"> </w:t>
            </w:r>
            <w:proofErr w:type="spellStart"/>
            <w:r>
              <w:rPr>
                <w:lang w:bidi="fr-FR"/>
              </w:rPr>
              <w:t>supervisé</w:t>
            </w:r>
            <w:proofErr w:type="spellEnd"/>
            <w:r>
              <w:rPr>
                <w:lang w:bidi="fr-FR"/>
              </w:rPr>
              <w:t xml:space="preserve"> par la DGS </w:t>
            </w:r>
            <w:proofErr w:type="spellStart"/>
            <w:r>
              <w:rPr>
                <w:lang w:bidi="fr-FR"/>
              </w:rPr>
              <w:t>afin</w:t>
            </w:r>
            <w:proofErr w:type="spellEnd"/>
            <w:r>
              <w:rPr>
                <w:lang w:bidi="fr-FR"/>
              </w:rPr>
              <w:t xml:space="preserve"> </w:t>
            </w:r>
            <w:proofErr w:type="spellStart"/>
            <w:r>
              <w:rPr>
                <w:lang w:bidi="fr-FR"/>
              </w:rPr>
              <w:t>d’assurer</w:t>
            </w:r>
            <w:proofErr w:type="spellEnd"/>
            <w:r>
              <w:rPr>
                <w:lang w:bidi="fr-FR"/>
              </w:rPr>
              <w:t xml:space="preserve"> </w:t>
            </w:r>
            <w:proofErr w:type="spellStart"/>
            <w:r w:rsidR="000F3719">
              <w:rPr>
                <w:lang w:bidi="fr-FR"/>
              </w:rPr>
              <w:t>l’harmonisation</w:t>
            </w:r>
            <w:proofErr w:type="spellEnd"/>
            <w:r>
              <w:rPr>
                <w:lang w:bidi="fr-FR"/>
              </w:rPr>
              <w:t xml:space="preserve"> de</w:t>
            </w:r>
            <w:r w:rsidR="000F3719">
              <w:rPr>
                <w:lang w:bidi="fr-FR"/>
              </w:rPr>
              <w:t xml:space="preserve">s interventions </w:t>
            </w:r>
            <w:proofErr w:type="spellStart"/>
            <w:r w:rsidR="000F3719">
              <w:rPr>
                <w:lang w:bidi="fr-FR"/>
              </w:rPr>
              <w:t>priorisées</w:t>
            </w:r>
            <w:proofErr w:type="spellEnd"/>
            <w:r w:rsidR="000F3719">
              <w:rPr>
                <w:lang w:bidi="fr-FR"/>
              </w:rPr>
              <w:t xml:space="preserve"> dans</w:t>
            </w:r>
            <w:r>
              <w:rPr>
                <w:lang w:bidi="fr-FR"/>
              </w:rPr>
              <w:t xml:space="preserve"> la </w:t>
            </w:r>
            <w:proofErr w:type="spellStart"/>
            <w:r>
              <w:rPr>
                <w:lang w:bidi="fr-FR"/>
              </w:rPr>
              <w:t>lutte</w:t>
            </w:r>
            <w:proofErr w:type="spellEnd"/>
            <w:r>
              <w:rPr>
                <w:lang w:bidi="fr-FR"/>
              </w:rPr>
              <w:t xml:space="preserve"> </w:t>
            </w:r>
            <w:proofErr w:type="spellStart"/>
            <w:r>
              <w:rPr>
                <w:lang w:bidi="fr-FR"/>
              </w:rPr>
              <w:t>contre</w:t>
            </w:r>
            <w:proofErr w:type="spellEnd"/>
            <w:r>
              <w:rPr>
                <w:lang w:bidi="fr-FR"/>
              </w:rPr>
              <w:t xml:space="preserve"> le </w:t>
            </w:r>
            <w:proofErr w:type="spellStart"/>
            <w:r>
              <w:rPr>
                <w:lang w:bidi="fr-FR"/>
              </w:rPr>
              <w:t>sida</w:t>
            </w:r>
            <w:proofErr w:type="spellEnd"/>
            <w:r>
              <w:rPr>
                <w:lang w:bidi="fr-FR"/>
              </w:rPr>
              <w:t xml:space="preserve"> </w:t>
            </w:r>
            <w:r w:rsidR="000F3719" w:rsidRPr="00080716">
              <w:rPr>
                <w:lang w:bidi="fr-FR"/>
              </w:rPr>
              <w:t xml:space="preserve">avec </w:t>
            </w:r>
            <w:r w:rsidR="000F3719">
              <w:rPr>
                <w:lang w:bidi="fr-FR"/>
              </w:rPr>
              <w:t xml:space="preserve">les </w:t>
            </w:r>
            <w:proofErr w:type="spellStart"/>
            <w:r w:rsidR="000F3719" w:rsidRPr="00080716">
              <w:rPr>
                <w:lang w:bidi="fr-FR"/>
              </w:rPr>
              <w:t>autres</w:t>
            </w:r>
            <w:proofErr w:type="spellEnd"/>
            <w:r w:rsidR="000F3719" w:rsidRPr="00080716">
              <w:rPr>
                <w:lang w:bidi="fr-FR"/>
              </w:rPr>
              <w:t xml:space="preserve"> </w:t>
            </w:r>
            <w:proofErr w:type="spellStart"/>
            <w:r w:rsidR="000F3719" w:rsidRPr="00080716">
              <w:rPr>
                <w:lang w:bidi="fr-FR"/>
              </w:rPr>
              <w:t>programmes</w:t>
            </w:r>
            <w:proofErr w:type="spellEnd"/>
            <w:r w:rsidR="000F3719">
              <w:rPr>
                <w:lang w:bidi="fr-FR"/>
              </w:rPr>
              <w:t xml:space="preserve"> et directions (</w:t>
            </w:r>
            <w:proofErr w:type="spellStart"/>
            <w:r w:rsidR="000F3719">
              <w:rPr>
                <w:lang w:bidi="fr-FR"/>
              </w:rPr>
              <w:t>centrales</w:t>
            </w:r>
            <w:proofErr w:type="spellEnd"/>
            <w:r w:rsidR="000F3719">
              <w:rPr>
                <w:lang w:bidi="fr-FR"/>
              </w:rPr>
              <w:t xml:space="preserve"> et </w:t>
            </w:r>
            <w:proofErr w:type="spellStart"/>
            <w:r w:rsidR="000F3719">
              <w:rPr>
                <w:lang w:bidi="fr-FR"/>
              </w:rPr>
              <w:t>déconcentrées</w:t>
            </w:r>
            <w:proofErr w:type="spellEnd"/>
            <w:r w:rsidR="000F3719">
              <w:rPr>
                <w:lang w:bidi="fr-FR"/>
              </w:rPr>
              <w:t>)</w:t>
            </w:r>
            <w:r w:rsidR="000F3719" w:rsidRPr="00080716">
              <w:rPr>
                <w:lang w:bidi="fr-FR"/>
              </w:rPr>
              <w:t xml:space="preserve"> </w:t>
            </w:r>
            <w:r w:rsidR="000F3719">
              <w:rPr>
                <w:lang w:bidi="fr-FR"/>
              </w:rPr>
              <w:t xml:space="preserve">du MSHP, des </w:t>
            </w:r>
            <w:proofErr w:type="spellStart"/>
            <w:r w:rsidR="000F3719">
              <w:rPr>
                <w:lang w:bidi="fr-FR"/>
              </w:rPr>
              <w:t>autres</w:t>
            </w:r>
            <w:proofErr w:type="spellEnd"/>
            <w:r w:rsidR="000F3719">
              <w:rPr>
                <w:lang w:bidi="fr-FR"/>
              </w:rPr>
              <w:t xml:space="preserve"> </w:t>
            </w:r>
            <w:proofErr w:type="spellStart"/>
            <w:r w:rsidR="000F3719">
              <w:rPr>
                <w:lang w:bidi="fr-FR"/>
              </w:rPr>
              <w:t>ministères</w:t>
            </w:r>
            <w:proofErr w:type="spellEnd"/>
            <w:r w:rsidR="000F3719">
              <w:rPr>
                <w:lang w:bidi="fr-FR"/>
              </w:rPr>
              <w:t xml:space="preserve"> et de la </w:t>
            </w:r>
            <w:proofErr w:type="spellStart"/>
            <w:r w:rsidR="000F3719">
              <w:rPr>
                <w:lang w:bidi="fr-FR"/>
              </w:rPr>
              <w:t>société</w:t>
            </w:r>
            <w:proofErr w:type="spellEnd"/>
            <w:r w:rsidR="000F3719">
              <w:rPr>
                <w:lang w:bidi="fr-FR"/>
              </w:rPr>
              <w:t xml:space="preserve"> </w:t>
            </w:r>
            <w:proofErr w:type="spellStart"/>
            <w:r w:rsidR="000F3719">
              <w:rPr>
                <w:lang w:bidi="fr-FR"/>
              </w:rPr>
              <w:t>civile</w:t>
            </w:r>
            <w:proofErr w:type="spellEnd"/>
            <w:r w:rsidR="000F3719">
              <w:rPr>
                <w:lang w:bidi="fr-FR"/>
              </w:rPr>
              <w:t>.</w:t>
            </w:r>
          </w:p>
          <w:p w14:paraId="06FE71DC" w14:textId="4F5CE3AF" w:rsidR="00B64636" w:rsidRPr="00750CA9" w:rsidRDefault="00B64636" w:rsidP="00750CA9">
            <w:pPr>
              <w:pStyle w:val="Texteformulaire"/>
              <w:rPr>
                <w:b/>
                <w:bCs/>
              </w:rPr>
            </w:pPr>
            <w:r w:rsidRPr="00750CA9">
              <w:rPr>
                <w:b/>
                <w:bCs/>
              </w:rPr>
              <w:t xml:space="preserve">Collaboration avec les </w:t>
            </w:r>
            <w:proofErr w:type="spellStart"/>
            <w:r w:rsidRPr="00750CA9">
              <w:rPr>
                <w:b/>
                <w:bCs/>
              </w:rPr>
              <w:t>Programmes</w:t>
            </w:r>
            <w:proofErr w:type="spellEnd"/>
            <w:r w:rsidRPr="00750CA9">
              <w:rPr>
                <w:b/>
                <w:bCs/>
              </w:rPr>
              <w:t xml:space="preserve"> de </w:t>
            </w:r>
            <w:proofErr w:type="gramStart"/>
            <w:r w:rsidRPr="00750CA9">
              <w:rPr>
                <w:b/>
                <w:bCs/>
              </w:rPr>
              <w:t>Santé</w:t>
            </w:r>
            <w:r w:rsidR="000F3719">
              <w:rPr>
                <w:b/>
                <w:bCs/>
              </w:rPr>
              <w:t xml:space="preserve"> :</w:t>
            </w:r>
            <w:proofErr w:type="gramEnd"/>
          </w:p>
          <w:p w14:paraId="65E1CE66" w14:textId="222F462A" w:rsidR="00B64636" w:rsidRDefault="00B64636" w:rsidP="00750CA9">
            <w:pPr>
              <w:pStyle w:val="liste1"/>
            </w:pPr>
            <w:r w:rsidRPr="00750CA9">
              <w:rPr>
                <w:b/>
                <w:bCs/>
              </w:rPr>
              <w:t>Programme National de Lutte contre la Tuberculose (PNLT)</w:t>
            </w:r>
            <w:r>
              <w:t xml:space="preserve"> : La collaboration entre le PNLS et le PNLT va se poursuivre et être renforcée à travers la présente demande avec le passage à échelle du traitement préventif à l’isoniazide. </w:t>
            </w:r>
            <w:r w:rsidR="000F3719">
              <w:t>L</w:t>
            </w:r>
            <w:r>
              <w:t>e cadre collaboratif PNLS/PNLT</w:t>
            </w:r>
            <w:r w:rsidR="000F3719">
              <w:t xml:space="preserve"> (GTT)</w:t>
            </w:r>
            <w:r>
              <w:t xml:space="preserve"> </w:t>
            </w:r>
            <w:r w:rsidR="000F3719">
              <w:t>sera renforcé pour</w:t>
            </w:r>
            <w:r>
              <w:t xml:space="preserve"> </w:t>
            </w:r>
            <w:r w:rsidR="000F3719">
              <w:t>appuyer la coordination, le renforcement des capacités, l’actualisation des documents normatifs, etc</w:t>
            </w:r>
            <w:r>
              <w:t>.</w:t>
            </w:r>
          </w:p>
          <w:p w14:paraId="54D63A3A" w14:textId="51B42BCF" w:rsidR="00B64636" w:rsidRDefault="00B64636" w:rsidP="00750CA9">
            <w:pPr>
              <w:pStyle w:val="liste1"/>
            </w:pPr>
            <w:r w:rsidRPr="00750CA9">
              <w:rPr>
                <w:b/>
                <w:bCs/>
              </w:rPr>
              <w:t>Programme National de Lutte contre le Tabagisme et les Addictions (PNLTA)</w:t>
            </w:r>
            <w:r>
              <w:t xml:space="preserve"> : </w:t>
            </w:r>
            <w:r w:rsidR="000F3719">
              <w:t>L</w:t>
            </w:r>
            <w:r>
              <w:t>a collaboration entre le PNLS et le PNLTA</w:t>
            </w:r>
            <w:r w:rsidR="000F3719">
              <w:t xml:space="preserve"> sera renforcée pour faciliter</w:t>
            </w:r>
            <w:r>
              <w:t xml:space="preserve"> </w:t>
            </w:r>
            <w:r w:rsidR="000F3719">
              <w:t xml:space="preserve">la formation </w:t>
            </w:r>
            <w:r>
              <w:t>de</w:t>
            </w:r>
            <w:r w:rsidR="000F3719">
              <w:t>s acteurs sur</w:t>
            </w:r>
            <w:r>
              <w:t xml:space="preserve"> la prise en charge de</w:t>
            </w:r>
            <w:r w:rsidR="000F3719">
              <w:t>s</w:t>
            </w:r>
            <w:r>
              <w:t xml:space="preserve"> addiction</w:t>
            </w:r>
            <w:r w:rsidR="000F3719">
              <w:t>s, notamment</w:t>
            </w:r>
            <w:r>
              <w:t xml:space="preserve"> le TSO</w:t>
            </w:r>
            <w:r w:rsidR="000F3719">
              <w:t xml:space="preserve">, ainsi que pour le développement du </w:t>
            </w:r>
            <w:r w:rsidR="00B65CE4">
              <w:t>référentiel</w:t>
            </w:r>
            <w:r w:rsidR="000F3719">
              <w:t xml:space="preserve"> national sur la </w:t>
            </w:r>
            <w:proofErr w:type="spellStart"/>
            <w:r w:rsidR="000F3719">
              <w:t>RdR</w:t>
            </w:r>
            <w:proofErr w:type="spellEnd"/>
            <w:r>
              <w:t xml:space="preserve">. </w:t>
            </w:r>
            <w:r w:rsidR="00B65CE4">
              <w:t>La collaboration active entre ces 2 programmes permettra d’</w:t>
            </w:r>
            <w:r>
              <w:t xml:space="preserve">appuyer </w:t>
            </w:r>
            <w:r w:rsidR="00B65CE4">
              <w:t>les</w:t>
            </w:r>
            <w:r>
              <w:t xml:space="preserve"> centres de prise en charge de l’addiction.</w:t>
            </w:r>
          </w:p>
          <w:p w14:paraId="325A2B24" w14:textId="0DAFE779" w:rsidR="00B64636" w:rsidRDefault="00B64636" w:rsidP="00750CA9">
            <w:pPr>
              <w:pStyle w:val="liste1"/>
            </w:pPr>
            <w:r w:rsidRPr="00750CA9">
              <w:rPr>
                <w:b/>
                <w:bCs/>
              </w:rPr>
              <w:t>Programme National de Lutte contre les Cancers (</w:t>
            </w:r>
            <w:proofErr w:type="spellStart"/>
            <w:r w:rsidRPr="00750CA9">
              <w:rPr>
                <w:b/>
                <w:bCs/>
              </w:rPr>
              <w:t>PNLCa</w:t>
            </w:r>
            <w:proofErr w:type="spellEnd"/>
            <w:r w:rsidRPr="00750CA9">
              <w:rPr>
                <w:b/>
                <w:bCs/>
              </w:rPr>
              <w:t>)</w:t>
            </w:r>
            <w:r>
              <w:t xml:space="preserve"> : Le PNLS va collaborer avec le </w:t>
            </w:r>
            <w:proofErr w:type="spellStart"/>
            <w:r>
              <w:t>PNLCa</w:t>
            </w:r>
            <w:proofErr w:type="spellEnd"/>
            <w:r>
              <w:t xml:space="preserve"> </w:t>
            </w:r>
            <w:r w:rsidR="00B65CE4">
              <w:t>pour</w:t>
            </w:r>
            <w:r>
              <w:t xml:space="preserve"> le diagnostic et la prise en charge </w:t>
            </w:r>
            <w:r w:rsidR="00B65CE4">
              <w:t>du cancer</w:t>
            </w:r>
            <w:r>
              <w:t xml:space="preserve"> du col du l’utérus chez les femmes vivant avec le VIH. L’offre de services mise en place </w:t>
            </w:r>
            <w:r w:rsidR="00B65CE4">
              <w:t>dans l</w:t>
            </w:r>
            <w:r>
              <w:t>es centres de santé profitera également aux autres femmes dans le besoin.</w:t>
            </w:r>
          </w:p>
          <w:p w14:paraId="6AC2D3E5" w14:textId="7672C097" w:rsidR="00B64636" w:rsidRDefault="00B64636">
            <w:pPr>
              <w:pStyle w:val="liste1"/>
            </w:pPr>
            <w:r w:rsidRPr="00750CA9">
              <w:rPr>
                <w:b/>
                <w:bCs/>
              </w:rPr>
              <w:t>Programme National de Lutte contre les Hépatites Virales (PNLHV)</w:t>
            </w:r>
            <w:r>
              <w:t xml:space="preserve"> : Le PNLS va continuer à collaborer avec le PNLHV </w:t>
            </w:r>
            <w:r w:rsidR="00B65CE4">
              <w:t xml:space="preserve">pour </w:t>
            </w:r>
            <w:r>
              <w:t>la prise en charge des comorbidités VIH/Hépatites virales</w:t>
            </w:r>
            <w:r w:rsidR="00B65CE4">
              <w:t>,</w:t>
            </w:r>
            <w:r>
              <w:t xml:space="preserve"> en </w:t>
            </w:r>
            <w:r w:rsidR="00B65CE4">
              <w:t xml:space="preserve">termes de </w:t>
            </w:r>
            <w:r>
              <w:t>ressources matérielles, produits médicaux et formation des prestataires</w:t>
            </w:r>
            <w:r w:rsidR="00B65CE4">
              <w:t xml:space="preserve">, à travers </w:t>
            </w:r>
            <w:r>
              <w:t>l’intégration de la prise en charge des hépatites dans les centres de prise en charge VIH</w:t>
            </w:r>
          </w:p>
          <w:p w14:paraId="129B84B2" w14:textId="3AA000CE" w:rsidR="00B64636" w:rsidRDefault="00B64636" w:rsidP="00750CA9">
            <w:pPr>
              <w:pStyle w:val="liste1"/>
            </w:pPr>
            <w:r w:rsidRPr="00750CA9">
              <w:rPr>
                <w:b/>
                <w:bCs/>
              </w:rPr>
              <w:t>Programme National Santé de la Mère et de l’Enfant (PNSME)</w:t>
            </w:r>
            <w:r>
              <w:t xml:space="preserve"> : </w:t>
            </w:r>
            <w:r w:rsidR="00B65CE4">
              <w:t>Pour</w:t>
            </w:r>
            <w:r>
              <w:t xml:space="preserve"> la PTME</w:t>
            </w:r>
            <w:r w:rsidR="00B65CE4">
              <w:t xml:space="preserve">, la collaboration entre PNLS et PNSME a </w:t>
            </w:r>
            <w:r>
              <w:t>permis d’intégrer l’offre des services VIH</w:t>
            </w:r>
            <w:r w:rsidR="00B65CE4">
              <w:t xml:space="preserve">, </w:t>
            </w:r>
            <w:r>
              <w:t>l’offre des services de planification familiale (PF)</w:t>
            </w:r>
            <w:r w:rsidR="00B65CE4">
              <w:t>,</w:t>
            </w:r>
            <w:r>
              <w:t xml:space="preserve"> l’utilisation </w:t>
            </w:r>
            <w:r w:rsidR="00B65CE4">
              <w:t xml:space="preserve">de la CPN et de la </w:t>
            </w:r>
            <w:proofErr w:type="spellStart"/>
            <w:r>
              <w:t>CPoN</w:t>
            </w:r>
            <w:proofErr w:type="spellEnd"/>
            <w:r>
              <w:t xml:space="preserve">. Cette collaboration </w:t>
            </w:r>
            <w:r w:rsidR="00B65CE4">
              <w:t>s’étend également aux interventions de prévention et prise en charge des VBG</w:t>
            </w:r>
            <w:r>
              <w:t>.</w:t>
            </w:r>
          </w:p>
          <w:p w14:paraId="3CDF409C" w14:textId="04E497EA" w:rsidR="00B64636" w:rsidRPr="00231925" w:rsidRDefault="00B64636" w:rsidP="00750CA9">
            <w:pPr>
              <w:pStyle w:val="liste1"/>
            </w:pPr>
            <w:r w:rsidRPr="00750CA9">
              <w:rPr>
                <w:b/>
                <w:bCs/>
              </w:rPr>
              <w:t>Programme National de Promotion de la Médecine Traditionnelle (PNPMT)</w:t>
            </w:r>
            <w:r>
              <w:t xml:space="preserve"> : </w:t>
            </w:r>
            <w:r w:rsidRPr="00231925">
              <w:t xml:space="preserve">Le partenariat </w:t>
            </w:r>
            <w:r w:rsidR="00B65CE4">
              <w:t xml:space="preserve">travaille à </w:t>
            </w:r>
            <w:r>
              <w:t>une meilleure implication des acteurs de la médecine traditionnelle dans l’utilisation des services de dépistage VIH, de la réduction des perdus de vue et du retour dans les soins, de l’offre des soins et soutien aux PVVIH.</w:t>
            </w:r>
          </w:p>
          <w:p w14:paraId="3779EDBA" w14:textId="50A49D03" w:rsidR="00B64636" w:rsidRPr="00080716" w:rsidRDefault="00B64636" w:rsidP="00750CA9">
            <w:pPr>
              <w:pStyle w:val="liste1"/>
            </w:pPr>
            <w:r w:rsidRPr="00750CA9">
              <w:rPr>
                <w:b/>
                <w:bCs/>
              </w:rPr>
              <w:t>Programme National de Lutte contre les Maladies Mentales (PNLMM) </w:t>
            </w:r>
            <w:r>
              <w:t xml:space="preserve">: </w:t>
            </w:r>
            <w:r w:rsidR="000B6857">
              <w:t xml:space="preserve">La prise en compte des problèmes de santé mentale des </w:t>
            </w:r>
            <w:r>
              <w:t>PVVIH</w:t>
            </w:r>
            <w:r w:rsidR="000B6857">
              <w:t xml:space="preserve">, des </w:t>
            </w:r>
            <w:proofErr w:type="spellStart"/>
            <w:r w:rsidR="000B6857">
              <w:t>KPs</w:t>
            </w:r>
            <w:proofErr w:type="spellEnd"/>
            <w:r w:rsidR="000B6857">
              <w:t xml:space="preserve"> et des prestataires de soins (</w:t>
            </w:r>
            <w:r>
              <w:t>burn-out</w:t>
            </w:r>
            <w:r w:rsidR="000B6857">
              <w:t xml:space="preserve">) nécessite une collaboration étroite entre PNLS et PNLMM, notamment en matière de </w:t>
            </w:r>
            <w:r>
              <w:t>formation/orientation des prestataires.</w:t>
            </w:r>
          </w:p>
          <w:p w14:paraId="66D5FD0F" w14:textId="2CA3CF9C" w:rsidR="00B64636" w:rsidRPr="00750CA9" w:rsidRDefault="00B64636">
            <w:pPr>
              <w:pStyle w:val="liste1"/>
              <w:rPr>
                <w:lang w:val="fr-CI"/>
              </w:rPr>
            </w:pPr>
            <w:r w:rsidRPr="00750CA9">
              <w:rPr>
                <w:b/>
                <w:bCs/>
              </w:rPr>
              <w:t>Programme National de Prévention des Maladies Métaboliques</w:t>
            </w:r>
            <w:r w:rsidRPr="00750CA9">
              <w:rPr>
                <w:rFonts w:cstheme="minorHAnsi"/>
                <w:b/>
                <w:bCs/>
                <w:lang w:val="fr-CI"/>
              </w:rPr>
              <w:t xml:space="preserve"> (PNPMM)</w:t>
            </w:r>
            <w:r w:rsidRPr="00306FB8">
              <w:rPr>
                <w:rFonts w:cstheme="minorHAnsi"/>
                <w:bCs/>
                <w:lang w:val="fr-CI"/>
              </w:rPr>
              <w:t> </w:t>
            </w:r>
            <w:r w:rsidRPr="003E794F">
              <w:rPr>
                <w:rFonts w:cstheme="minorHAnsi"/>
                <w:bCs/>
                <w:lang w:val="fr-CI"/>
              </w:rPr>
              <w:t xml:space="preserve">: </w:t>
            </w:r>
            <w:r w:rsidRPr="007501BD">
              <w:rPr>
                <w:rFonts w:cstheme="minorHAnsi"/>
                <w:bCs/>
                <w:lang w:val="fr-CI"/>
              </w:rPr>
              <w:t xml:space="preserve">Le diabète, le surpoids et l’hypertension artérielle sont </w:t>
            </w:r>
            <w:r w:rsidR="000B6857">
              <w:rPr>
                <w:rFonts w:cstheme="minorHAnsi"/>
                <w:bCs/>
                <w:lang w:val="fr-CI"/>
              </w:rPr>
              <w:t>des comorbidités fréquentes chez les PVVIH</w:t>
            </w:r>
            <w:r w:rsidRPr="00F53990">
              <w:rPr>
                <w:rFonts w:cstheme="minorHAnsi"/>
                <w:bCs/>
                <w:lang w:val="fr-CI"/>
              </w:rPr>
              <w:t xml:space="preserve">. Pour réduire ce risque, des activités conjointes </w:t>
            </w:r>
            <w:r w:rsidR="000B6857">
              <w:rPr>
                <w:rFonts w:cstheme="minorHAnsi"/>
                <w:bCs/>
                <w:lang w:val="fr-CI"/>
              </w:rPr>
              <w:t xml:space="preserve">doivent porter </w:t>
            </w:r>
            <w:r w:rsidRPr="00F53990">
              <w:rPr>
                <w:rFonts w:cstheme="minorHAnsi"/>
                <w:bCs/>
                <w:lang w:val="fr-CI"/>
              </w:rPr>
              <w:t>sur le renforcement des capacités des prestataires de soins impliqués dans la prise en charge des PVVIH</w:t>
            </w:r>
            <w:r w:rsidR="000B6857">
              <w:rPr>
                <w:rFonts w:cstheme="minorHAnsi"/>
                <w:bCs/>
                <w:lang w:val="fr-CI"/>
              </w:rPr>
              <w:t xml:space="preserve">, la référence active des cas vers les personnes ressources spécialisées ou des unités spécifiques </w:t>
            </w:r>
            <w:proofErr w:type="spellStart"/>
            <w:r w:rsidR="000B6857">
              <w:rPr>
                <w:rFonts w:cstheme="minorHAnsi"/>
                <w:bCs/>
                <w:lang w:val="fr-CI"/>
              </w:rPr>
              <w:t>multimaladies</w:t>
            </w:r>
            <w:proofErr w:type="spellEnd"/>
            <w:r w:rsidR="000B6857">
              <w:rPr>
                <w:rFonts w:cstheme="minorHAnsi"/>
                <w:bCs/>
                <w:lang w:val="fr-CI"/>
              </w:rPr>
              <w:t xml:space="preserve"> dans les grands centres.</w:t>
            </w:r>
          </w:p>
          <w:p w14:paraId="23606F29" w14:textId="69EDD37E" w:rsidR="00896293" w:rsidRDefault="00896293">
            <w:pPr>
              <w:pStyle w:val="liste1"/>
              <w:rPr>
                <w:lang w:val="fr-CI"/>
              </w:rPr>
            </w:pPr>
            <w:r>
              <w:rPr>
                <w:b/>
                <w:bCs/>
              </w:rPr>
              <w:t xml:space="preserve">Programme National de Santé Scolaire et </w:t>
            </w:r>
            <w:proofErr w:type="spellStart"/>
            <w:r w:rsidRPr="00750CA9">
              <w:rPr>
                <w:b/>
                <w:bCs/>
              </w:rPr>
              <w:t>Universaire</w:t>
            </w:r>
            <w:proofErr w:type="spellEnd"/>
            <w:r w:rsidRPr="00750CA9">
              <w:rPr>
                <w:b/>
                <w:bCs/>
              </w:rPr>
              <w:t xml:space="preserve"> </w:t>
            </w:r>
            <w:r>
              <w:rPr>
                <w:b/>
                <w:bCs/>
              </w:rPr>
              <w:t>-</w:t>
            </w:r>
            <w:r w:rsidRPr="00750CA9">
              <w:rPr>
                <w:b/>
                <w:bCs/>
                <w:lang w:val="fr-CI"/>
              </w:rPr>
              <w:t xml:space="preserve"> Santé </w:t>
            </w:r>
            <w:proofErr w:type="spellStart"/>
            <w:r w:rsidRPr="00750CA9">
              <w:rPr>
                <w:b/>
                <w:bCs/>
                <w:lang w:val="fr-CI"/>
              </w:rPr>
              <w:t>Adolecent</w:t>
            </w:r>
            <w:proofErr w:type="spellEnd"/>
            <w:r w:rsidRPr="00750CA9">
              <w:rPr>
                <w:b/>
                <w:bCs/>
                <w:lang w:val="fr-CI"/>
              </w:rPr>
              <w:t xml:space="preserve"> et Jeunes</w:t>
            </w:r>
            <w:r>
              <w:rPr>
                <w:lang w:val="fr-CI"/>
              </w:rPr>
              <w:t> : dans les centres de santé relevant de ce programme seront rendus conviviaux pour la prise en charge des adolescents et jeunes vivant avec le VIH, et la mise en œuvre de l’ECS.</w:t>
            </w:r>
          </w:p>
          <w:p w14:paraId="1ECAB82B" w14:textId="4A0B7A4C" w:rsidR="00B64636" w:rsidRPr="00750CA9" w:rsidRDefault="00B64636" w:rsidP="00750CA9">
            <w:pPr>
              <w:pStyle w:val="Texteformulaire"/>
              <w:rPr>
                <w:rFonts w:cs="Arial"/>
                <w:b/>
                <w:bCs/>
              </w:rPr>
            </w:pPr>
            <w:proofErr w:type="spellStart"/>
            <w:r w:rsidRPr="00750CA9">
              <w:rPr>
                <w:b/>
                <w:bCs/>
              </w:rPr>
              <w:t>Activités</w:t>
            </w:r>
            <w:proofErr w:type="spellEnd"/>
            <w:r w:rsidRPr="00750CA9">
              <w:rPr>
                <w:b/>
                <w:bCs/>
              </w:rPr>
              <w:t xml:space="preserve"> </w:t>
            </w:r>
            <w:proofErr w:type="spellStart"/>
            <w:r w:rsidRPr="00750CA9">
              <w:rPr>
                <w:b/>
                <w:bCs/>
              </w:rPr>
              <w:t>conjointes</w:t>
            </w:r>
            <w:proofErr w:type="spellEnd"/>
            <w:r w:rsidRPr="00750CA9">
              <w:rPr>
                <w:b/>
                <w:bCs/>
              </w:rPr>
              <w:t xml:space="preserve"> avec </w:t>
            </w:r>
            <w:proofErr w:type="spellStart"/>
            <w:r w:rsidRPr="00750CA9">
              <w:rPr>
                <w:b/>
                <w:bCs/>
              </w:rPr>
              <w:t>d’autres</w:t>
            </w:r>
            <w:proofErr w:type="spellEnd"/>
            <w:r w:rsidRPr="00750CA9">
              <w:rPr>
                <w:b/>
                <w:bCs/>
              </w:rPr>
              <w:t xml:space="preserve"> </w:t>
            </w:r>
            <w:proofErr w:type="spellStart"/>
            <w:proofErr w:type="gramStart"/>
            <w:r>
              <w:rPr>
                <w:b/>
                <w:bCs/>
              </w:rPr>
              <w:t>m</w:t>
            </w:r>
            <w:r w:rsidRPr="00750CA9">
              <w:rPr>
                <w:b/>
                <w:bCs/>
              </w:rPr>
              <w:t>inistères</w:t>
            </w:r>
            <w:proofErr w:type="spellEnd"/>
            <w:r w:rsidRPr="00750CA9">
              <w:rPr>
                <w:b/>
                <w:bCs/>
              </w:rPr>
              <w:t> :</w:t>
            </w:r>
            <w:proofErr w:type="gramEnd"/>
          </w:p>
          <w:p w14:paraId="69E3FE77" w14:textId="2F353F23" w:rsidR="00B64636" w:rsidRDefault="00B64636">
            <w:pPr>
              <w:pStyle w:val="liste1"/>
              <w:rPr>
                <w:lang w:val="fr-CI"/>
              </w:rPr>
            </w:pPr>
            <w:r>
              <w:rPr>
                <w:lang w:val="fr-CI"/>
              </w:rPr>
              <w:t xml:space="preserve">Avec la </w:t>
            </w:r>
            <w:r w:rsidRPr="00CD1521">
              <w:rPr>
                <w:b/>
                <w:lang w:val="fr-CI"/>
              </w:rPr>
              <w:t>Direction de l’administration Pénitentiaire</w:t>
            </w:r>
            <w:r>
              <w:rPr>
                <w:lang w:val="fr-CI"/>
              </w:rPr>
              <w:t xml:space="preserve"> (DAP) / Ministère de la Justice, le PNLS va poursuivre les interventions de prévention de dépistage et de prise en charge des IST et du VIH en milieu carcéral dans les 34 Maisons d’arrêt de Correction (MAC)</w:t>
            </w:r>
          </w:p>
          <w:p w14:paraId="28C3DFFB" w14:textId="1E97DF4F" w:rsidR="00167525" w:rsidRDefault="00167525" w:rsidP="00750CA9">
            <w:pPr>
              <w:pStyle w:val="liste1"/>
              <w:rPr>
                <w:lang w:val="fr-CI"/>
              </w:rPr>
            </w:pPr>
            <w:r w:rsidRPr="00750CA9">
              <w:rPr>
                <w:b/>
                <w:bCs/>
                <w:lang w:val="fr-CI"/>
              </w:rPr>
              <w:lastRenderedPageBreak/>
              <w:t>Direction Protection Judiciaire de l’Enfant et du Jeune (DPJEJ)</w:t>
            </w:r>
            <w:r>
              <w:rPr>
                <w:lang w:val="fr-CI"/>
              </w:rPr>
              <w:t xml:space="preserve"> : </w:t>
            </w:r>
            <w:r w:rsidR="00E16256">
              <w:rPr>
                <w:lang w:val="fr-CI"/>
              </w:rPr>
              <w:t>C</w:t>
            </w:r>
            <w:r>
              <w:rPr>
                <w:lang w:val="fr-CI"/>
              </w:rPr>
              <w:t>hargé</w:t>
            </w:r>
            <w:r w:rsidR="00E16256">
              <w:rPr>
                <w:lang w:val="fr-CI"/>
              </w:rPr>
              <w:t>e</w:t>
            </w:r>
            <w:r>
              <w:rPr>
                <w:lang w:val="fr-CI"/>
              </w:rPr>
              <w:t xml:space="preserve"> d</w:t>
            </w:r>
            <w:r w:rsidR="00E16256">
              <w:rPr>
                <w:lang w:val="fr-CI"/>
              </w:rPr>
              <w:t>es questions en lien avec le</w:t>
            </w:r>
            <w:r>
              <w:rPr>
                <w:lang w:val="fr-CI"/>
              </w:rPr>
              <w:t xml:space="preserve"> VIH </w:t>
            </w:r>
            <w:r w:rsidR="00E16256">
              <w:rPr>
                <w:lang w:val="fr-CI"/>
              </w:rPr>
              <w:t xml:space="preserve">et les DH </w:t>
            </w:r>
            <w:r>
              <w:rPr>
                <w:lang w:val="fr-CI"/>
              </w:rPr>
              <w:t>au Ministère de la Justice</w:t>
            </w:r>
            <w:r w:rsidR="00E16256">
              <w:rPr>
                <w:lang w:val="fr-CI"/>
              </w:rPr>
              <w:t xml:space="preserve"> et des Droits de l’Homme, cette direction collabore avec le PNLS (GTT, documents normatifs, Plan </w:t>
            </w:r>
            <w:proofErr w:type="spellStart"/>
            <w:r w:rsidR="00E16256">
              <w:rPr>
                <w:lang w:val="fr-CI"/>
              </w:rPr>
              <w:t>Quinquenal</w:t>
            </w:r>
            <w:proofErr w:type="spellEnd"/>
            <w:r w:rsidR="00E16256">
              <w:rPr>
                <w:lang w:val="fr-CI"/>
              </w:rPr>
              <w:t xml:space="preserve"> DH)</w:t>
            </w:r>
          </w:p>
          <w:p w14:paraId="7D91CFDE" w14:textId="45DF6D65" w:rsidR="00B64636" w:rsidRDefault="00B64636" w:rsidP="00750CA9">
            <w:pPr>
              <w:pStyle w:val="liste1"/>
              <w:rPr>
                <w:lang w:val="fr-CI"/>
              </w:rPr>
            </w:pPr>
            <w:r>
              <w:rPr>
                <w:lang w:val="fr-CI"/>
              </w:rPr>
              <w:t xml:space="preserve">Avec le </w:t>
            </w:r>
            <w:r w:rsidRPr="00CD1521">
              <w:rPr>
                <w:b/>
                <w:lang w:val="fr-CI"/>
              </w:rPr>
              <w:t>Programme National de prise en charge des O</w:t>
            </w:r>
            <w:r>
              <w:rPr>
                <w:b/>
                <w:lang w:val="fr-CI"/>
              </w:rPr>
              <w:t xml:space="preserve">rphelins et </w:t>
            </w:r>
            <w:r w:rsidRPr="00CD1521">
              <w:rPr>
                <w:b/>
                <w:lang w:val="fr-CI"/>
              </w:rPr>
              <w:t>E</w:t>
            </w:r>
            <w:r>
              <w:rPr>
                <w:b/>
                <w:lang w:val="fr-CI"/>
              </w:rPr>
              <w:t xml:space="preserve">nfants </w:t>
            </w:r>
            <w:r w:rsidRPr="00CD1521">
              <w:rPr>
                <w:b/>
                <w:lang w:val="fr-CI"/>
              </w:rPr>
              <w:t>V</w:t>
            </w:r>
            <w:r>
              <w:rPr>
                <w:b/>
                <w:lang w:val="fr-CI"/>
              </w:rPr>
              <w:t>ulnérables</w:t>
            </w:r>
            <w:r>
              <w:rPr>
                <w:lang w:val="fr-CI"/>
              </w:rPr>
              <w:t xml:space="preserve"> (PNOEV) / Ministère de la Solidarité, de la Famille, de la Femme et de l’Enfant (MSFFE), </w:t>
            </w:r>
            <w:r w:rsidR="000B6857">
              <w:rPr>
                <w:lang w:val="fr-CI"/>
              </w:rPr>
              <w:t>la</w:t>
            </w:r>
            <w:r>
              <w:rPr>
                <w:lang w:val="fr-CI"/>
              </w:rPr>
              <w:t xml:space="preserve"> collaboration permettra de former les acteurs sociaux, de renforcer les capacités des centres sociaux et de coordonner/suivre les interventions</w:t>
            </w:r>
          </w:p>
          <w:p w14:paraId="08E6C690" w14:textId="3F570B8B" w:rsidR="00B64636" w:rsidRDefault="00B64636" w:rsidP="00750CA9">
            <w:pPr>
              <w:pStyle w:val="liste1"/>
              <w:rPr>
                <w:lang w:val="fr-CI"/>
              </w:rPr>
            </w:pPr>
            <w:r>
              <w:rPr>
                <w:lang w:val="fr-CI"/>
              </w:rPr>
              <w:t>L’</w:t>
            </w:r>
            <w:r w:rsidRPr="00CD1521">
              <w:rPr>
                <w:b/>
                <w:lang w:val="fr-CI"/>
              </w:rPr>
              <w:t xml:space="preserve">Institut Pasteur Côte d’Ivoire </w:t>
            </w:r>
            <w:r>
              <w:rPr>
                <w:lang w:val="fr-CI"/>
              </w:rPr>
              <w:t>(IPCI</w:t>
            </w:r>
            <w:r w:rsidRPr="00080716">
              <w:t>)</w:t>
            </w:r>
            <w:r>
              <w:t xml:space="preserve"> / </w:t>
            </w:r>
            <w:r>
              <w:rPr>
                <w:lang w:val="fr-CI"/>
              </w:rPr>
              <w:t>Ministère de l’Enseignement Supérieur et de la Recherche Scientifique (MESRS) est le laboratoire de référence nationale pour la surveillance des IST en appui au PNLS</w:t>
            </w:r>
          </w:p>
          <w:p w14:paraId="2ABB3446" w14:textId="5AD79CB8" w:rsidR="000B6857" w:rsidRDefault="00B64636">
            <w:pPr>
              <w:pStyle w:val="liste1"/>
              <w:rPr>
                <w:lang w:val="fr-CI"/>
              </w:rPr>
            </w:pPr>
            <w:r>
              <w:rPr>
                <w:lang w:val="fr-CI"/>
              </w:rPr>
              <w:t xml:space="preserve">Avec le </w:t>
            </w:r>
            <w:r w:rsidRPr="00856A55">
              <w:rPr>
                <w:b/>
                <w:lang w:val="fr-CI"/>
              </w:rPr>
              <w:t>Direction de la Mutualité et des Œuvres Sociales et Scolaire</w:t>
            </w:r>
            <w:r>
              <w:rPr>
                <w:lang w:val="fr-CI"/>
              </w:rPr>
              <w:t xml:space="preserve"> (DMOSS) / Ministère de l’Education Nationale et de l’Enseignement Technique (MENET), le PNLS va renforcer les interventions de prévention des IST et du sida en faveur des adolescents et jeunes en milieu scolaire</w:t>
            </w:r>
            <w:r w:rsidR="00896293">
              <w:rPr>
                <w:lang w:val="fr-CI"/>
              </w:rPr>
              <w:t xml:space="preserve"> (ECS)</w:t>
            </w:r>
          </w:p>
          <w:p w14:paraId="19C0F755" w14:textId="60FF21CF" w:rsidR="00BB0099" w:rsidRDefault="00BB0099" w:rsidP="00B64636">
            <w:pPr>
              <w:pStyle w:val="Texteformulaire"/>
            </w:pPr>
            <w:proofErr w:type="spellStart"/>
            <w:r>
              <w:t>En</w:t>
            </w:r>
            <w:proofErr w:type="spellEnd"/>
            <w:r>
              <w:t xml:space="preserve"> </w:t>
            </w:r>
            <w:proofErr w:type="spellStart"/>
            <w:r>
              <w:t>ce</w:t>
            </w:r>
            <w:proofErr w:type="spellEnd"/>
            <w:r>
              <w:t xml:space="preserve"> qui </w:t>
            </w:r>
            <w:proofErr w:type="spellStart"/>
            <w:r>
              <w:t>concerne</w:t>
            </w:r>
            <w:proofErr w:type="spellEnd"/>
            <w:r>
              <w:t xml:space="preserve"> les liens qui </w:t>
            </w:r>
            <w:proofErr w:type="spellStart"/>
            <w:r>
              <w:t>contribuent</w:t>
            </w:r>
            <w:proofErr w:type="spellEnd"/>
            <w:r>
              <w:t xml:space="preserve"> au </w:t>
            </w:r>
            <w:proofErr w:type="spellStart"/>
            <w:r>
              <w:t>renforcement</w:t>
            </w:r>
            <w:proofErr w:type="spellEnd"/>
            <w:r>
              <w:t xml:space="preserve"> du </w:t>
            </w:r>
            <w:proofErr w:type="spellStart"/>
            <w:r>
              <w:t>système</w:t>
            </w:r>
            <w:proofErr w:type="spellEnd"/>
            <w:r>
              <w:t xml:space="preserve"> de santé, le PNLS a </w:t>
            </w:r>
            <w:proofErr w:type="spellStart"/>
            <w:r>
              <w:t>noué</w:t>
            </w:r>
            <w:proofErr w:type="spellEnd"/>
            <w:r>
              <w:t xml:space="preserve"> des </w:t>
            </w:r>
            <w:proofErr w:type="spellStart"/>
            <w:r>
              <w:t>partenariat</w:t>
            </w:r>
            <w:proofErr w:type="spellEnd"/>
            <w:r>
              <w:t xml:space="preserve"> avec </w:t>
            </w:r>
            <w:proofErr w:type="spellStart"/>
            <w:r>
              <w:t>l’ensemble</w:t>
            </w:r>
            <w:proofErr w:type="spellEnd"/>
            <w:r>
              <w:t xml:space="preserve"> des </w:t>
            </w:r>
            <w:proofErr w:type="spellStart"/>
            <w:r>
              <w:t>autres</w:t>
            </w:r>
            <w:proofErr w:type="spellEnd"/>
            <w:r>
              <w:t xml:space="preserve"> </w:t>
            </w:r>
            <w:proofErr w:type="spellStart"/>
            <w:r>
              <w:t>acteurs</w:t>
            </w:r>
            <w:proofErr w:type="spellEnd"/>
            <w:r>
              <w:t xml:space="preserve"> </w:t>
            </w:r>
            <w:proofErr w:type="spellStart"/>
            <w:proofErr w:type="gramStart"/>
            <w:r>
              <w:t>suivants</w:t>
            </w:r>
            <w:proofErr w:type="spellEnd"/>
            <w:r>
              <w:t xml:space="preserve"> :</w:t>
            </w:r>
            <w:proofErr w:type="gramEnd"/>
          </w:p>
          <w:p w14:paraId="075AAB13" w14:textId="3AE602B0" w:rsidR="00BB0099" w:rsidRDefault="00BB0099" w:rsidP="00750CA9">
            <w:pPr>
              <w:pStyle w:val="liste1"/>
            </w:pPr>
            <w:r w:rsidRPr="00750CA9">
              <w:rPr>
                <w:b/>
                <w:bCs/>
              </w:rPr>
              <w:t>Liens avec les autres entités publiques du système de santé</w:t>
            </w:r>
            <w:r>
              <w:t xml:space="preserve"> (DGS, DIIS, DSC, DAP</w:t>
            </w:r>
            <w:r w:rsidRPr="00080716">
              <w:t xml:space="preserve">L, </w:t>
            </w:r>
            <w:r>
              <w:t>AIRP, DIEM, DSIM</w:t>
            </w:r>
            <w:r w:rsidRPr="00080716">
              <w:t>, NPSP</w:t>
            </w:r>
            <w:r>
              <w:t>-CI</w:t>
            </w:r>
            <w:r w:rsidRPr="00080716">
              <w:t>, LNSP</w:t>
            </w:r>
            <w:r>
              <w:t>, etc.) : L</w:t>
            </w:r>
            <w:r w:rsidRPr="00080716">
              <w:t xml:space="preserve">es activités transversales avec ces entités du </w:t>
            </w:r>
            <w:r>
              <w:t>MSHP</w:t>
            </w:r>
            <w:r w:rsidRPr="00080716">
              <w:t xml:space="preserve"> permet</w:t>
            </w:r>
            <w:r>
              <w:t>te</w:t>
            </w:r>
            <w:r w:rsidRPr="00080716">
              <w:t>nt</w:t>
            </w:r>
            <w:r>
              <w:t xml:space="preserve"> de renforcer la coordination et</w:t>
            </w:r>
            <w:r w:rsidRPr="00080716">
              <w:t xml:space="preserve"> le suivi des intervention</w:t>
            </w:r>
            <w:r>
              <w:t xml:space="preserve">s, le renforcement de la qualité des services, le renforcement des plateaux techniques, la maintenance des équipements et infrastructures, le renforcement de la chaine d’approvisionnement en produits médicaux et les capacités de stockage, la régulation et la règlementation des produits médicaux, la </w:t>
            </w:r>
            <w:proofErr w:type="spellStart"/>
            <w:r>
              <w:t>pharmacogivilance</w:t>
            </w:r>
            <w:proofErr w:type="spellEnd"/>
            <w:r>
              <w:t xml:space="preserve"> / renforcement du système de notification, etc. Les activités mises en œuvre sous ces collaborations permettront d’</w:t>
            </w:r>
            <w:r>
              <w:rPr>
                <w:lang w:bidi="fr-FR"/>
              </w:rPr>
              <w:t>améliorer les résultats de la lutte contre les IST et le sida, l’efficience et la pérennité à travers un renforcement du système de santé.</w:t>
            </w:r>
          </w:p>
          <w:p w14:paraId="17B20B68" w14:textId="6A541FE4" w:rsidR="00896293" w:rsidRDefault="00BB0099" w:rsidP="00750CA9">
            <w:pPr>
              <w:pStyle w:val="liste1"/>
            </w:pPr>
            <w:r w:rsidRPr="00750CA9">
              <w:rPr>
                <w:b/>
                <w:bCs/>
              </w:rPr>
              <w:t>Acteurs de la société civile</w:t>
            </w:r>
            <w:r>
              <w:t xml:space="preserve"> :</w:t>
            </w:r>
            <w:r w:rsidR="00B64636" w:rsidRPr="00750CA9">
              <w:t xml:space="preserve"> </w:t>
            </w:r>
            <w:r w:rsidR="009F1041">
              <w:t xml:space="preserve">Le PNLS collabore activement avec l’ensemble des organisations faitières de la société civile engagées dans la réponse au VIH (ou dans la santé en général), telles que la plateforme des réseaux et faitières des OSC engagées dans les 3 maladies, le réseau </w:t>
            </w:r>
            <w:proofErr w:type="gramStart"/>
            <w:r w:rsidR="009F1041">
              <w:t>des  PVVIH</w:t>
            </w:r>
            <w:proofErr w:type="gramEnd"/>
            <w:r w:rsidR="009F1041">
              <w:t xml:space="preserve"> (RIP+), le réseau des </w:t>
            </w:r>
            <w:proofErr w:type="spellStart"/>
            <w:r w:rsidR="009F1041">
              <w:t>KPs</w:t>
            </w:r>
            <w:proofErr w:type="spellEnd"/>
            <w:r w:rsidR="009F1041">
              <w:t xml:space="preserve"> (ROPC-CI), ENDA Santé, </w:t>
            </w:r>
            <w:r w:rsidR="00B64636" w:rsidRPr="00750CA9">
              <w:t xml:space="preserve">ITPC, </w:t>
            </w:r>
            <w:r w:rsidR="009F1041">
              <w:t>etc.</w:t>
            </w:r>
            <w:r w:rsidR="00B64636" w:rsidRPr="00750CA9">
              <w:t xml:space="preserve"> </w:t>
            </w:r>
          </w:p>
          <w:p w14:paraId="52724FC5" w14:textId="19CFDF1F" w:rsidR="00BB0099" w:rsidRDefault="00BB0099" w:rsidP="00750CA9">
            <w:pPr>
              <w:pStyle w:val="liste1"/>
            </w:pPr>
            <w:r w:rsidRPr="00750CA9">
              <w:rPr>
                <w:b/>
                <w:bCs/>
              </w:rPr>
              <w:t>Secteur privé</w:t>
            </w:r>
            <w:r>
              <w:t> : Le PNLS collabore avec la Confédération Générale des Entreprises de Côte d’Ivoire (CGECI) à travers la Coalition des Entreprises de Côte d’Ivoire pour la lutte contre les pandémies (CECI) et l’association des Cliniques Privées de Côte d’Ivoire (ACPCI) en vue de renforcer les interventions de lutte contre le sida et les IST dans les entreprises à travers leurs structures de santé et dans les cliniques privées. Avec l’ACPCI, il va s’agir de poursuivre les interventions mises en place avec l’appui du PEPFAR et de les étendre dans des cliniques additionnelles.</w:t>
            </w:r>
          </w:p>
          <w:p w14:paraId="2AACB4AB" w14:textId="0E1FE389" w:rsidR="00B64636" w:rsidRPr="00750CA9" w:rsidRDefault="00BB0099" w:rsidP="00750CA9">
            <w:pPr>
              <w:pStyle w:val="liste1"/>
            </w:pPr>
            <w:r>
              <w:rPr>
                <w:b/>
                <w:bCs/>
              </w:rPr>
              <w:t>Institution d’enseignement et de recherche </w:t>
            </w:r>
            <w:r w:rsidRPr="00750CA9">
              <w:t>:</w:t>
            </w:r>
            <w:r>
              <w:t xml:space="preserve"> </w:t>
            </w:r>
            <w:r w:rsidR="009F1041">
              <w:t>L</w:t>
            </w:r>
            <w:r>
              <w:t xml:space="preserve">e PNLS collabore avec différentes institutions </w:t>
            </w:r>
            <w:r w:rsidRPr="00BB0099">
              <w:t>d’enseignement et de recherche</w:t>
            </w:r>
            <w:r>
              <w:t>, notamment pour le développement de projets de recherche opérationnels et</w:t>
            </w:r>
            <w:r w:rsidR="009F1041">
              <w:t>/ou</w:t>
            </w:r>
            <w:r>
              <w:t xml:space="preserve"> d’interventions de renforcement de capacités (formations </w:t>
            </w:r>
            <w:r w:rsidR="009F1041">
              <w:t>continues</w:t>
            </w:r>
            <w:r>
              <w:t>)</w:t>
            </w:r>
            <w:r w:rsidR="009F1041">
              <w:t> : Institut Pasteur de Côte d’Ivoire, Institut National de Santé Publique, Institut National d’Hygiène Publique, Programme PACCI (Programme de Recherche sur le VIH, la Tuberculose et les Hépatites / ANRS), INFAS, UFR Sciences Médicales et UFR Sciences Pharmaceutiques.</w:t>
            </w:r>
          </w:p>
        </w:tc>
      </w:tr>
      <w:bookmarkEnd w:id="23"/>
    </w:tbl>
    <w:p w14:paraId="66603989" w14:textId="56F49F53" w:rsidR="00DE1608" w:rsidRPr="00E80CEF" w:rsidRDefault="00DE1608" w:rsidP="009B6C0D">
      <w:pPr>
        <w:spacing w:after="0" w:line="260" w:lineRule="atLeast"/>
        <w:rPr>
          <w:highlight w:val="yellow"/>
        </w:rPr>
      </w:pPr>
    </w:p>
    <w:p w14:paraId="51D13D88" w14:textId="4C45AB98" w:rsidR="004B4C1B" w:rsidRPr="00D236CA" w:rsidRDefault="000D0B32" w:rsidP="00A140D5">
      <w:pPr>
        <w:pStyle w:val="ListParagraph"/>
        <w:numPr>
          <w:ilvl w:val="0"/>
          <w:numId w:val="20"/>
        </w:numPr>
        <w:spacing w:after="0" w:line="260" w:lineRule="atLeast"/>
        <w:ind w:left="450" w:hanging="450"/>
      </w:pPr>
      <w:r w:rsidRPr="004F1255">
        <w:t xml:space="preserve">Expliquer succinctement en quoi la demande de financement est conforme aux </w:t>
      </w:r>
      <w:r w:rsidRPr="004F1255">
        <w:rPr>
          <w:b/>
        </w:rPr>
        <w:t>exigences de centrage de la candidature</w:t>
      </w:r>
      <w:r w:rsidRPr="004F1255">
        <w:t xml:space="preserve"> énoncées dans la lettre d’allocation.</w:t>
      </w:r>
    </w:p>
    <w:p w14:paraId="67A8850A" w14:textId="77777777" w:rsidR="009B6C0D" w:rsidRPr="00D236CA" w:rsidRDefault="009B6C0D" w:rsidP="009B6C0D">
      <w:pPr>
        <w:pStyle w:val="ListParagraph"/>
        <w:spacing w:after="0" w:line="260" w:lineRule="atLeast"/>
        <w:ind w:left="450"/>
      </w:pPr>
    </w:p>
    <w:tbl>
      <w:tblPr>
        <w:tblStyle w:val="TableGrid"/>
        <w:tblW w:w="0" w:type="auto"/>
        <w:tblLook w:val="04A0" w:firstRow="1" w:lastRow="0" w:firstColumn="1" w:lastColumn="0" w:noHBand="0" w:noVBand="1"/>
      </w:tblPr>
      <w:tblGrid>
        <w:gridCol w:w="10456"/>
      </w:tblGrid>
      <w:tr w:rsidR="004B4C1B" w:rsidRPr="005305D5" w14:paraId="235D17CD" w14:textId="77777777" w:rsidTr="00D63E4B">
        <w:tc>
          <w:tcPr>
            <w:tcW w:w="10790" w:type="dxa"/>
          </w:tcPr>
          <w:p w14:paraId="7175BE08" w14:textId="154C92A8" w:rsidR="00C6707B" w:rsidRDefault="00496518" w:rsidP="00F10C7C">
            <w:pPr>
              <w:pStyle w:val="Texteformulaire"/>
              <w:rPr>
                <w:rFonts w:asciiTheme="minorHAnsi" w:eastAsiaTheme="minorEastAsia" w:hAnsiTheme="minorHAnsi" w:cstheme="minorHAnsi"/>
                <w:lang w:val="fr-FR"/>
              </w:rPr>
            </w:pPr>
            <w:r w:rsidRPr="00290EF3">
              <w:rPr>
                <w:lang w:val="fr-FR"/>
              </w:rPr>
              <w:t>L</w:t>
            </w:r>
            <w:r w:rsidRPr="003A79C4">
              <w:t xml:space="preserve">a </w:t>
            </w:r>
            <w:proofErr w:type="spellStart"/>
            <w:r w:rsidRPr="003A79C4">
              <w:t>demande</w:t>
            </w:r>
            <w:proofErr w:type="spellEnd"/>
            <w:r w:rsidRPr="003A79C4">
              <w:t xml:space="preserve"> de </w:t>
            </w:r>
            <w:proofErr w:type="spellStart"/>
            <w:r w:rsidRPr="003A79C4">
              <w:t>financement</w:t>
            </w:r>
            <w:proofErr w:type="spellEnd"/>
            <w:r w:rsidRPr="003A79C4">
              <w:t xml:space="preserve"> </w:t>
            </w:r>
            <w:proofErr w:type="spellStart"/>
            <w:r w:rsidRPr="003A79C4">
              <w:t>est</w:t>
            </w:r>
            <w:proofErr w:type="spellEnd"/>
            <w:r w:rsidRPr="003A79C4">
              <w:t xml:space="preserve"> </w:t>
            </w:r>
            <w:proofErr w:type="spellStart"/>
            <w:r w:rsidRPr="003A79C4">
              <w:t>conforme</w:t>
            </w:r>
            <w:proofErr w:type="spellEnd"/>
            <w:r w:rsidRPr="003A79C4">
              <w:t xml:space="preserve"> aux </w:t>
            </w:r>
            <w:r w:rsidRPr="003A79C4">
              <w:rPr>
                <w:b/>
              </w:rPr>
              <w:t xml:space="preserve">exigences de </w:t>
            </w:r>
            <w:proofErr w:type="spellStart"/>
            <w:r w:rsidRPr="003A79C4">
              <w:rPr>
                <w:b/>
              </w:rPr>
              <w:t>centrage</w:t>
            </w:r>
            <w:proofErr w:type="spellEnd"/>
            <w:r w:rsidRPr="003A79C4">
              <w:rPr>
                <w:b/>
              </w:rPr>
              <w:t xml:space="preserve"> de la candidature</w:t>
            </w:r>
            <w:r w:rsidRPr="003A79C4">
              <w:t xml:space="preserve"> </w:t>
            </w:r>
            <w:proofErr w:type="spellStart"/>
            <w:r w:rsidRPr="003A79C4">
              <w:t>énoncées</w:t>
            </w:r>
            <w:proofErr w:type="spellEnd"/>
            <w:r w:rsidRPr="003A79C4">
              <w:t xml:space="preserve"> dans la </w:t>
            </w:r>
            <w:proofErr w:type="spellStart"/>
            <w:r w:rsidRPr="003A79C4">
              <w:t>lettre</w:t>
            </w:r>
            <w:proofErr w:type="spellEnd"/>
            <w:r w:rsidRPr="003A79C4">
              <w:t xml:space="preserve"> </w:t>
            </w:r>
            <w:proofErr w:type="spellStart"/>
            <w:r w:rsidRPr="003A79C4">
              <w:t>d’allocation</w:t>
            </w:r>
            <w:proofErr w:type="spellEnd"/>
            <w:r w:rsidR="00F10C7C">
              <w:t xml:space="preserve">, car plus de </w:t>
            </w:r>
            <w:r w:rsidR="00F10C7C" w:rsidRPr="007C551D">
              <w:rPr>
                <w:rFonts w:asciiTheme="minorHAnsi" w:eastAsiaTheme="minorEastAsia" w:hAnsiTheme="minorHAnsi" w:cstheme="minorHAnsi"/>
                <w:lang w:val="fr-FR"/>
              </w:rPr>
              <w:t xml:space="preserve">50% du financement au titre de la somme allouée </w:t>
            </w:r>
            <w:r w:rsidR="00F10C7C">
              <w:rPr>
                <w:rFonts w:asciiTheme="minorHAnsi" w:eastAsiaTheme="minorEastAsia" w:hAnsiTheme="minorHAnsi" w:cstheme="minorHAnsi"/>
                <w:lang w:val="fr-FR"/>
              </w:rPr>
              <w:t>(</w:t>
            </w:r>
            <w:r w:rsidR="00F10C7C" w:rsidRPr="00290EF3">
              <w:t xml:space="preserve">après </w:t>
            </w:r>
            <w:proofErr w:type="spellStart"/>
            <w:r w:rsidR="00F10C7C" w:rsidRPr="00290EF3">
              <w:t>déduction</w:t>
            </w:r>
            <w:proofErr w:type="spellEnd"/>
            <w:r w:rsidR="00F10C7C" w:rsidRPr="00290EF3">
              <w:t xml:space="preserve"> des </w:t>
            </w:r>
            <w:proofErr w:type="spellStart"/>
            <w:r w:rsidR="00F10C7C" w:rsidRPr="00290EF3">
              <w:t>produits</w:t>
            </w:r>
            <w:proofErr w:type="spellEnd"/>
            <w:r w:rsidR="00F10C7C" w:rsidRPr="00290EF3">
              <w:t xml:space="preserve"> de santé</w:t>
            </w:r>
            <w:r w:rsidR="00F10C7C">
              <w:t xml:space="preserve">) </w:t>
            </w:r>
            <w:r w:rsidR="00F10C7C">
              <w:rPr>
                <w:rFonts w:asciiTheme="minorHAnsi" w:eastAsiaTheme="minorEastAsia" w:hAnsiTheme="minorHAnsi" w:cstheme="minorHAnsi"/>
                <w:lang w:val="fr-FR"/>
              </w:rPr>
              <w:t>est dédié à</w:t>
            </w:r>
            <w:r w:rsidR="00F10C7C" w:rsidRPr="007C551D">
              <w:rPr>
                <w:rFonts w:asciiTheme="minorHAnsi" w:eastAsiaTheme="minorEastAsia" w:hAnsiTheme="minorHAnsi" w:cstheme="minorHAnsi"/>
                <w:lang w:val="fr-FR"/>
              </w:rPr>
              <w:t xml:space="preserve"> des interventions spécifiques à destination des populations clés et vulnérables ou à des interventions ayant </w:t>
            </w:r>
            <w:r w:rsidR="00F10C7C">
              <w:rPr>
                <w:rFonts w:asciiTheme="minorHAnsi" w:eastAsiaTheme="minorEastAsia" w:hAnsiTheme="minorHAnsi" w:cstheme="minorHAnsi"/>
                <w:lang w:val="fr-FR"/>
              </w:rPr>
              <w:t xml:space="preserve">un </w:t>
            </w:r>
            <w:r w:rsidR="00F10C7C" w:rsidRPr="007C551D">
              <w:rPr>
                <w:rFonts w:asciiTheme="minorHAnsi" w:eastAsiaTheme="minorEastAsia" w:hAnsiTheme="minorHAnsi" w:cstheme="minorHAnsi"/>
                <w:lang w:val="fr-FR"/>
              </w:rPr>
              <w:t xml:space="preserve">impact </w:t>
            </w:r>
            <w:r w:rsidR="00F10C7C">
              <w:rPr>
                <w:rFonts w:asciiTheme="minorHAnsi" w:eastAsiaTheme="minorEastAsia" w:hAnsiTheme="minorHAnsi" w:cstheme="minorHAnsi"/>
                <w:lang w:val="fr-FR"/>
              </w:rPr>
              <w:t>direct sur le</w:t>
            </w:r>
            <w:r w:rsidR="00F10C7C" w:rsidRPr="007C551D">
              <w:rPr>
                <w:rFonts w:asciiTheme="minorHAnsi" w:eastAsiaTheme="minorEastAsia" w:hAnsiTheme="minorHAnsi" w:cstheme="minorHAnsi"/>
                <w:lang w:val="fr-FR"/>
              </w:rPr>
              <w:t xml:space="preserve"> contexte épidémiologique </w:t>
            </w:r>
            <w:r w:rsidR="00F10C7C">
              <w:rPr>
                <w:rFonts w:asciiTheme="minorHAnsi" w:eastAsiaTheme="minorEastAsia" w:hAnsiTheme="minorHAnsi" w:cstheme="minorHAnsi"/>
                <w:lang w:val="fr-FR"/>
              </w:rPr>
              <w:t>de la réponse ai VIH en Côte d’Ivoire :</w:t>
            </w:r>
          </w:p>
          <w:p w14:paraId="4CD79226" w14:textId="408C719E" w:rsidR="000F6C38" w:rsidRPr="00750CA9" w:rsidRDefault="00F10C7C" w:rsidP="00750CA9">
            <w:pPr>
              <w:pStyle w:val="liste1"/>
            </w:pPr>
            <w:bookmarkStart w:id="24" w:name="lt_pId119"/>
            <w:r>
              <w:t>Interventions</w:t>
            </w:r>
            <w:r w:rsidR="000F6C38" w:rsidRPr="00290EF3">
              <w:t xml:space="preserve"> </w:t>
            </w:r>
            <w:r>
              <w:t>de prévention et prise en charge, soins et soutien des</w:t>
            </w:r>
            <w:r w:rsidR="000F6C38" w:rsidRPr="00290EF3">
              <w:t xml:space="preserve"> </w:t>
            </w:r>
            <w:proofErr w:type="spellStart"/>
            <w:r w:rsidR="000F6C38" w:rsidRPr="00290EF3">
              <w:t>KPs</w:t>
            </w:r>
            <w:proofErr w:type="spellEnd"/>
            <w:r>
              <w:t>, clients des TS, adolescents et jeunes (incluant l’ECS)</w:t>
            </w:r>
          </w:p>
          <w:p w14:paraId="1D5FDDD2" w14:textId="43419B50" w:rsidR="000F6C38" w:rsidRDefault="00F10C7C" w:rsidP="00750CA9">
            <w:pPr>
              <w:pStyle w:val="liste1"/>
            </w:pPr>
            <w:r>
              <w:lastRenderedPageBreak/>
              <w:t>Interventions</w:t>
            </w:r>
            <w:r w:rsidRPr="00290EF3">
              <w:t xml:space="preserve"> </w:t>
            </w:r>
            <w:r>
              <w:t xml:space="preserve">visant à réduire </w:t>
            </w:r>
            <w:r w:rsidR="000F6C38" w:rsidRPr="00750CA9">
              <w:t xml:space="preserve">les </w:t>
            </w:r>
            <w:r w:rsidRPr="00332680">
              <w:rPr>
                <w:rFonts w:asciiTheme="minorHAnsi" w:eastAsiaTheme="minorEastAsia" w:hAnsiTheme="minorHAnsi" w:cstheme="minorHAnsi"/>
              </w:rPr>
              <w:t>obstacles,</w:t>
            </w:r>
            <w:r>
              <w:rPr>
                <w:rFonts w:asciiTheme="minorHAnsi" w:eastAsiaTheme="minorEastAsia" w:hAnsiTheme="minorHAnsi" w:cstheme="minorHAnsi"/>
              </w:rPr>
              <w:t xml:space="preserve"> </w:t>
            </w:r>
            <w:r w:rsidRPr="00332680">
              <w:rPr>
                <w:rFonts w:asciiTheme="minorHAnsi" w:eastAsiaTheme="minorEastAsia" w:hAnsiTheme="minorHAnsi" w:cstheme="minorHAnsi"/>
              </w:rPr>
              <w:t>inégalités et vulnérabilités liés au genre et aux droits humains qui entravent l’accès aux services</w:t>
            </w:r>
            <w:r w:rsidRPr="00750CA9">
              <w:t xml:space="preserve"> </w:t>
            </w:r>
            <w:r>
              <w:t>(incluant les fonds catalytiques)</w:t>
            </w:r>
          </w:p>
          <w:p w14:paraId="33836750" w14:textId="33DB0A34" w:rsidR="00F10C7C" w:rsidRDefault="00F10C7C" w:rsidP="00750CA9">
            <w:pPr>
              <w:pStyle w:val="liste1"/>
            </w:pPr>
            <w:r>
              <w:t>Les investissements en termes de préservatifs et lubrifiants</w:t>
            </w:r>
          </w:p>
          <w:p w14:paraId="3F4C10D2" w14:textId="069B9283" w:rsidR="00F10C7C" w:rsidRPr="00750CA9" w:rsidRDefault="00F10C7C" w:rsidP="00750CA9">
            <w:pPr>
              <w:pStyle w:val="liste1"/>
              <w:rPr>
                <w:lang w:val="en-US"/>
              </w:rPr>
            </w:pPr>
            <w:r>
              <w:rPr>
                <w:lang w:val="en-US"/>
              </w:rPr>
              <w:t xml:space="preserve">Les interventions de </w:t>
            </w:r>
            <w:proofErr w:type="spellStart"/>
            <w:r>
              <w:rPr>
                <w:lang w:val="en-US"/>
              </w:rPr>
              <w:t>soins</w:t>
            </w:r>
            <w:proofErr w:type="spellEnd"/>
            <w:r>
              <w:rPr>
                <w:lang w:val="en-US"/>
              </w:rPr>
              <w:t xml:space="preserve"> </w:t>
            </w:r>
            <w:proofErr w:type="spellStart"/>
            <w:r>
              <w:rPr>
                <w:lang w:val="en-US"/>
              </w:rPr>
              <w:t>différenciés</w:t>
            </w:r>
            <w:proofErr w:type="spellEnd"/>
            <w:r>
              <w:rPr>
                <w:lang w:val="en-US"/>
              </w:rPr>
              <w:t xml:space="preserve"> pour les PVVIH</w:t>
            </w:r>
          </w:p>
          <w:p w14:paraId="434E0686" w14:textId="35A2F2AD" w:rsidR="004B4C1B" w:rsidRPr="00750CA9" w:rsidRDefault="00F10C7C" w:rsidP="00750CA9">
            <w:pPr>
              <w:pStyle w:val="Texteformulaire"/>
              <w:rPr>
                <w:color w:val="FF0000"/>
              </w:rPr>
            </w:pPr>
            <w:r>
              <w:t xml:space="preserve">On </w:t>
            </w:r>
            <w:proofErr w:type="spellStart"/>
            <w:r>
              <w:t>rappelle</w:t>
            </w:r>
            <w:proofErr w:type="spellEnd"/>
            <w:r>
              <w:t xml:space="preserve"> que </w:t>
            </w:r>
            <w:proofErr w:type="spellStart"/>
            <w:r>
              <w:t>l’exercice</w:t>
            </w:r>
            <w:proofErr w:type="spellEnd"/>
            <w:r>
              <w:t xml:space="preserve"> de </w:t>
            </w:r>
            <w:proofErr w:type="spellStart"/>
            <w:r>
              <w:t>priorisation</w:t>
            </w:r>
            <w:proofErr w:type="spellEnd"/>
            <w:r>
              <w:t xml:space="preserve"> qui a conduit à </w:t>
            </w:r>
            <w:proofErr w:type="spellStart"/>
            <w:r>
              <w:t>l’identification</w:t>
            </w:r>
            <w:proofErr w:type="spellEnd"/>
            <w:r>
              <w:t xml:space="preserve"> des modules et interventions </w:t>
            </w:r>
            <w:proofErr w:type="spellStart"/>
            <w:r>
              <w:t>prioritaires</w:t>
            </w:r>
            <w:proofErr w:type="spellEnd"/>
            <w:r>
              <w:t xml:space="preserve"> </w:t>
            </w:r>
            <w:proofErr w:type="spellStart"/>
            <w:r>
              <w:t>composant</w:t>
            </w:r>
            <w:proofErr w:type="spellEnd"/>
            <w:r>
              <w:t xml:space="preserve"> </w:t>
            </w:r>
            <w:proofErr w:type="spellStart"/>
            <w:r>
              <w:t>cette</w:t>
            </w:r>
            <w:proofErr w:type="spellEnd"/>
            <w:r>
              <w:t xml:space="preserve"> </w:t>
            </w:r>
            <w:proofErr w:type="spellStart"/>
            <w:r>
              <w:t>demande</w:t>
            </w:r>
            <w:proofErr w:type="spellEnd"/>
            <w:r>
              <w:t xml:space="preserve"> de </w:t>
            </w:r>
            <w:proofErr w:type="spellStart"/>
            <w:r>
              <w:t>financement</w:t>
            </w:r>
            <w:proofErr w:type="spellEnd"/>
            <w:r>
              <w:t xml:space="preserve"> </w:t>
            </w:r>
            <w:proofErr w:type="spellStart"/>
            <w:r>
              <w:t>est</w:t>
            </w:r>
            <w:proofErr w:type="spellEnd"/>
            <w:r>
              <w:t xml:space="preserve"> </w:t>
            </w:r>
            <w:proofErr w:type="spellStart"/>
            <w:r>
              <w:t>directement</w:t>
            </w:r>
            <w:proofErr w:type="spellEnd"/>
            <w:r>
              <w:t xml:space="preserve"> </w:t>
            </w:r>
            <w:proofErr w:type="spellStart"/>
            <w:r>
              <w:t>issu</w:t>
            </w:r>
            <w:proofErr w:type="spellEnd"/>
            <w:r>
              <w:t xml:space="preserve"> de la </w:t>
            </w:r>
            <w:proofErr w:type="spellStart"/>
            <w:r>
              <w:t>priorisation</w:t>
            </w:r>
            <w:proofErr w:type="spellEnd"/>
            <w:r>
              <w:t xml:space="preserve"> du PSN. Ce dernier </w:t>
            </w:r>
            <w:proofErr w:type="spellStart"/>
            <w:r>
              <w:t>étant</w:t>
            </w:r>
            <w:proofErr w:type="spellEnd"/>
            <w:r>
              <w:t xml:space="preserve"> </w:t>
            </w:r>
            <w:proofErr w:type="spellStart"/>
            <w:r>
              <w:t>fondé</w:t>
            </w:r>
            <w:proofErr w:type="spellEnd"/>
            <w:r>
              <w:t xml:space="preserve"> sur la</w:t>
            </w:r>
            <w:r w:rsidR="000F6C38" w:rsidRPr="00290EF3">
              <w:t xml:space="preserve"> </w:t>
            </w:r>
            <w:proofErr w:type="spellStart"/>
            <w:r w:rsidR="000F6C38" w:rsidRPr="00290EF3">
              <w:t>modélisation</w:t>
            </w:r>
            <w:proofErr w:type="spellEnd"/>
            <w:r w:rsidR="003A79C4" w:rsidRPr="00750CA9">
              <w:t xml:space="preserve"> </w:t>
            </w:r>
            <w:r>
              <w:t xml:space="preserve">de la </w:t>
            </w:r>
            <w:proofErr w:type="spellStart"/>
            <w:r>
              <w:t>réponse</w:t>
            </w:r>
            <w:proofErr w:type="spellEnd"/>
            <w:r>
              <w:t xml:space="preserve"> à </w:t>
            </w:r>
            <w:proofErr w:type="spellStart"/>
            <w:r>
              <w:t>l’épidémie</w:t>
            </w:r>
            <w:proofErr w:type="spellEnd"/>
            <w:r w:rsidRPr="00290EF3">
              <w:t xml:space="preserve"> </w:t>
            </w:r>
            <w:proofErr w:type="spellStart"/>
            <w:r>
              <w:t>selon</w:t>
            </w:r>
            <w:proofErr w:type="spellEnd"/>
            <w:r>
              <w:t xml:space="preserve"> </w:t>
            </w:r>
            <w:proofErr w:type="spellStart"/>
            <w:r>
              <w:t>l’outil</w:t>
            </w:r>
            <w:proofErr w:type="spellEnd"/>
            <w:r>
              <w:t xml:space="preserve"> </w:t>
            </w:r>
            <w:r w:rsidRPr="00290EF3">
              <w:t>GOALS</w:t>
            </w:r>
            <w:r>
              <w:t xml:space="preserve">, </w:t>
            </w:r>
            <w:proofErr w:type="spellStart"/>
            <w:r>
              <w:t>laquelle</w:t>
            </w:r>
            <w:proofErr w:type="spellEnd"/>
            <w:r>
              <w:t xml:space="preserve"> a </w:t>
            </w:r>
            <w:proofErr w:type="spellStart"/>
            <w:r>
              <w:t>permis</w:t>
            </w:r>
            <w:proofErr w:type="spellEnd"/>
            <w:r>
              <w:t xml:space="preserve"> </w:t>
            </w:r>
            <w:proofErr w:type="spellStart"/>
            <w:r>
              <w:t>d’identifier</w:t>
            </w:r>
            <w:proofErr w:type="spellEnd"/>
            <w:r>
              <w:t xml:space="preserve"> les</w:t>
            </w:r>
            <w:r w:rsidR="003A79C4" w:rsidRPr="00750CA9">
              <w:t xml:space="preserve"> interventions </w:t>
            </w:r>
            <w:r>
              <w:t>à impact</w:t>
            </w:r>
            <w:r w:rsidR="003A79C4" w:rsidRPr="00750CA9">
              <w:t xml:space="preserve"> </w:t>
            </w:r>
            <w:proofErr w:type="spellStart"/>
            <w:r>
              <w:t>élevé</w:t>
            </w:r>
            <w:proofErr w:type="spellEnd"/>
            <w:r>
              <w:t xml:space="preserve"> sur la </w:t>
            </w:r>
            <w:proofErr w:type="spellStart"/>
            <w:r>
              <w:t>réduction</w:t>
            </w:r>
            <w:proofErr w:type="spellEnd"/>
            <w:r>
              <w:t xml:space="preserve"> des </w:t>
            </w:r>
            <w:proofErr w:type="spellStart"/>
            <w:r>
              <w:t>nouvelles</w:t>
            </w:r>
            <w:proofErr w:type="spellEnd"/>
            <w:r>
              <w:t xml:space="preserve"> infections et des </w:t>
            </w:r>
            <w:proofErr w:type="spellStart"/>
            <w:r>
              <w:t>décès</w:t>
            </w:r>
            <w:proofErr w:type="spellEnd"/>
            <w:r>
              <w:t xml:space="preserve"> </w:t>
            </w:r>
            <w:proofErr w:type="spellStart"/>
            <w:r>
              <w:t>liés</w:t>
            </w:r>
            <w:proofErr w:type="spellEnd"/>
            <w:r>
              <w:t xml:space="preserve"> au VIH.</w:t>
            </w:r>
            <w:bookmarkEnd w:id="24"/>
          </w:p>
        </w:tc>
      </w:tr>
      <w:bookmarkEnd w:id="22"/>
    </w:tbl>
    <w:p w14:paraId="5C2EBEF8" w14:textId="43F45CF6" w:rsidR="00DE1608" w:rsidRPr="00522262" w:rsidRDefault="00DE1608" w:rsidP="009B6C0D">
      <w:pPr>
        <w:spacing w:after="0"/>
        <w:rPr>
          <w:i/>
        </w:rPr>
      </w:pPr>
    </w:p>
    <w:p w14:paraId="0B5F3B4D" w14:textId="7E9F708E" w:rsidR="00EA1C55" w:rsidRPr="00EA1C55" w:rsidRDefault="00EA1C55" w:rsidP="00A140D5">
      <w:pPr>
        <w:pStyle w:val="ListParagraph"/>
        <w:numPr>
          <w:ilvl w:val="0"/>
          <w:numId w:val="20"/>
        </w:numPr>
        <w:spacing w:after="0"/>
        <w:ind w:left="540" w:hanging="540"/>
      </w:pPr>
      <w:r w:rsidRPr="00E80CEF">
        <w:t xml:space="preserve">Expliquer en quoi la demande de financement présente un bon </w:t>
      </w:r>
      <w:r w:rsidRPr="00EA1C55">
        <w:rPr>
          <w:b/>
        </w:rPr>
        <w:t>rapport coût/efficacité</w:t>
      </w:r>
      <w:r w:rsidR="00644BF5">
        <w:rPr>
          <w:b/>
        </w:rPr>
        <w:t xml:space="preserve"> (en anglais « value for money »)</w:t>
      </w:r>
      <w:r w:rsidRPr="00EA1C55">
        <w:t xml:space="preserve">, en incluant des exemples de l’amélioration de la rentabilité par rapport à la période d’allocation actuelle. Pour répondre, se reporter aux </w:t>
      </w:r>
      <w:r w:rsidRPr="00EA1C55">
        <w:rPr>
          <w:i/>
        </w:rPr>
        <w:t>Instructions</w:t>
      </w:r>
      <w:r w:rsidRPr="00EA1C55">
        <w:t xml:space="preserve"> relatives à la définition des dimensions du rapport coût/efficacité qui doivent être prises en compte.</w:t>
      </w:r>
    </w:p>
    <w:p w14:paraId="56B225C1" w14:textId="4A650123" w:rsidR="00EA1C55" w:rsidRPr="00EA1C55" w:rsidRDefault="00EA1C55" w:rsidP="00EA1C55">
      <w:pPr>
        <w:spacing w:after="0"/>
      </w:pPr>
    </w:p>
    <w:tbl>
      <w:tblPr>
        <w:tblStyle w:val="TableGrid"/>
        <w:tblW w:w="0" w:type="auto"/>
        <w:tblLook w:val="04A0" w:firstRow="1" w:lastRow="0" w:firstColumn="1" w:lastColumn="0" w:noHBand="0" w:noVBand="1"/>
      </w:tblPr>
      <w:tblGrid>
        <w:gridCol w:w="10456"/>
      </w:tblGrid>
      <w:tr w:rsidR="0098274C" w:rsidRPr="005305D5" w14:paraId="2574620A" w14:textId="77777777" w:rsidTr="00D63E4B">
        <w:tc>
          <w:tcPr>
            <w:tcW w:w="10790" w:type="dxa"/>
          </w:tcPr>
          <w:p w14:paraId="2856AB32" w14:textId="19506058" w:rsidR="00B64636" w:rsidRDefault="00B64636" w:rsidP="00B64636">
            <w:pPr>
              <w:pStyle w:val="Texteformulaire"/>
            </w:pPr>
            <w:r>
              <w:t xml:space="preserve">Le </w:t>
            </w:r>
            <w:proofErr w:type="spellStart"/>
            <w:r>
              <w:t>modèle</w:t>
            </w:r>
            <w:proofErr w:type="spellEnd"/>
            <w:r>
              <w:t xml:space="preserve"> </w:t>
            </w:r>
            <w:r w:rsidRPr="00B64636">
              <w:t>G</w:t>
            </w:r>
            <w:r>
              <w:t>OALS</w:t>
            </w:r>
            <w:r w:rsidRPr="00B64636">
              <w:t xml:space="preserve">, </w:t>
            </w:r>
            <w:proofErr w:type="spellStart"/>
            <w:r w:rsidRPr="00B64636">
              <w:t>outil</w:t>
            </w:r>
            <w:proofErr w:type="spellEnd"/>
            <w:r w:rsidRPr="00B64636">
              <w:t xml:space="preserve"> de </w:t>
            </w:r>
            <w:proofErr w:type="spellStart"/>
            <w:r w:rsidRPr="00B64636">
              <w:t>modélisation</w:t>
            </w:r>
            <w:proofErr w:type="spellEnd"/>
            <w:r w:rsidRPr="00B64636">
              <w:t xml:space="preserve"> </w:t>
            </w:r>
            <w:proofErr w:type="spellStart"/>
            <w:r w:rsidRPr="00B64636">
              <w:t>développé</w:t>
            </w:r>
            <w:proofErr w:type="spellEnd"/>
            <w:r w:rsidRPr="00B64636">
              <w:t xml:space="preserve"> par </w:t>
            </w:r>
            <w:proofErr w:type="spellStart"/>
            <w:r w:rsidRPr="00B64636">
              <w:t>Avenir</w:t>
            </w:r>
            <w:proofErr w:type="spellEnd"/>
            <w:r w:rsidRPr="00B64636">
              <w:t xml:space="preserve"> Health et </w:t>
            </w:r>
            <w:proofErr w:type="spellStart"/>
            <w:r w:rsidRPr="00B64636">
              <w:t>ses</w:t>
            </w:r>
            <w:proofErr w:type="spellEnd"/>
            <w:r w:rsidRPr="00B64636">
              <w:t xml:space="preserve"> </w:t>
            </w:r>
            <w:proofErr w:type="spellStart"/>
            <w:r w:rsidRPr="00B64636">
              <w:t>partenaires</w:t>
            </w:r>
            <w:proofErr w:type="spellEnd"/>
            <w:r w:rsidRPr="00B64636">
              <w:t xml:space="preserve">, </w:t>
            </w:r>
            <w:r>
              <w:t xml:space="preserve">a </w:t>
            </w:r>
            <w:proofErr w:type="spellStart"/>
            <w:r>
              <w:t>été</w:t>
            </w:r>
            <w:proofErr w:type="spellEnd"/>
            <w:r>
              <w:t xml:space="preserve"> </w:t>
            </w:r>
            <w:proofErr w:type="spellStart"/>
            <w:r>
              <w:t>utilisé</w:t>
            </w:r>
            <w:proofErr w:type="spellEnd"/>
            <w:r>
              <w:t xml:space="preserve"> </w:t>
            </w:r>
            <w:r w:rsidRPr="00B64636">
              <w:t xml:space="preserve">pour quantifier les </w:t>
            </w:r>
            <w:proofErr w:type="spellStart"/>
            <w:r w:rsidRPr="00B64636">
              <w:t>résultats</w:t>
            </w:r>
            <w:proofErr w:type="spellEnd"/>
            <w:r w:rsidRPr="00B64636">
              <w:t xml:space="preserve"> </w:t>
            </w:r>
            <w:proofErr w:type="spellStart"/>
            <w:r w:rsidRPr="00B64636">
              <w:t>d’impacts</w:t>
            </w:r>
            <w:proofErr w:type="spellEnd"/>
            <w:r w:rsidRPr="00B64636">
              <w:t xml:space="preserve"> de mise </w:t>
            </w:r>
            <w:proofErr w:type="spellStart"/>
            <w:r w:rsidRPr="00B64636">
              <w:t>en</w:t>
            </w:r>
            <w:proofErr w:type="spellEnd"/>
            <w:r w:rsidRPr="00B64636">
              <w:t xml:space="preserve"> </w:t>
            </w:r>
            <w:proofErr w:type="spellStart"/>
            <w:r w:rsidRPr="00B64636">
              <w:t>œuvre</w:t>
            </w:r>
            <w:proofErr w:type="spellEnd"/>
            <w:r w:rsidRPr="00B64636">
              <w:t xml:space="preserve"> des interventions du VIH/SIDA </w:t>
            </w:r>
            <w:proofErr w:type="spellStart"/>
            <w:r w:rsidRPr="00B64636">
              <w:t>en</w:t>
            </w:r>
            <w:proofErr w:type="spellEnd"/>
            <w:r w:rsidRPr="00B64636">
              <w:t xml:space="preserve"> </w:t>
            </w:r>
            <w:proofErr w:type="spellStart"/>
            <w:r w:rsidRPr="00B64636">
              <w:t>analysant</w:t>
            </w:r>
            <w:proofErr w:type="spellEnd"/>
            <w:r w:rsidRPr="00B64636">
              <w:t xml:space="preserve"> et </w:t>
            </w:r>
            <w:proofErr w:type="spellStart"/>
            <w:r w:rsidRPr="00B64636">
              <w:t>budgétisant</w:t>
            </w:r>
            <w:proofErr w:type="spellEnd"/>
            <w:r w:rsidRPr="00B64636">
              <w:t xml:space="preserve"> les </w:t>
            </w:r>
            <w:proofErr w:type="spellStart"/>
            <w:r w:rsidRPr="00B64636">
              <w:t>activités</w:t>
            </w:r>
            <w:proofErr w:type="spellEnd"/>
            <w:r w:rsidRPr="00B64636">
              <w:t xml:space="preserve"> </w:t>
            </w:r>
            <w:proofErr w:type="spellStart"/>
            <w:r w:rsidRPr="00B64636">
              <w:t>individuelles</w:t>
            </w:r>
            <w:proofErr w:type="spellEnd"/>
            <w:r w:rsidRPr="00B64636">
              <w:t xml:space="preserve"> et les interventions du plan </w:t>
            </w:r>
            <w:proofErr w:type="spellStart"/>
            <w:r w:rsidRPr="00B64636">
              <w:t>stratégique</w:t>
            </w:r>
            <w:proofErr w:type="spellEnd"/>
            <w:r w:rsidRPr="00B64636">
              <w:t xml:space="preserve">. </w:t>
            </w:r>
          </w:p>
          <w:p w14:paraId="7FC94049" w14:textId="66B4275B" w:rsidR="00B64636" w:rsidRDefault="00B64636" w:rsidP="00B64636">
            <w:pPr>
              <w:pStyle w:val="Texteformulaire"/>
            </w:pPr>
            <w:r w:rsidRPr="00B64636">
              <w:t xml:space="preserve">Nous </w:t>
            </w:r>
            <w:proofErr w:type="spellStart"/>
            <w:r w:rsidRPr="00B64636">
              <w:t>avons</w:t>
            </w:r>
            <w:proofErr w:type="spellEnd"/>
            <w:r w:rsidRPr="00B64636">
              <w:t xml:space="preserve"> </w:t>
            </w:r>
            <w:proofErr w:type="spellStart"/>
            <w:r w:rsidRPr="00B64636">
              <w:t>aussi</w:t>
            </w:r>
            <w:proofErr w:type="spellEnd"/>
            <w:r w:rsidRPr="00B64636">
              <w:t xml:space="preserve"> </w:t>
            </w:r>
            <w:proofErr w:type="spellStart"/>
            <w:r w:rsidRPr="00B64636">
              <w:t>analysé</w:t>
            </w:r>
            <w:proofErr w:type="spellEnd"/>
            <w:r w:rsidRPr="00B64636">
              <w:t xml:space="preserve"> les </w:t>
            </w:r>
            <w:proofErr w:type="spellStart"/>
            <w:r w:rsidRPr="00B64636">
              <w:t>effets</w:t>
            </w:r>
            <w:proofErr w:type="spellEnd"/>
            <w:r w:rsidRPr="00B64636">
              <w:t xml:space="preserve"> </w:t>
            </w:r>
            <w:proofErr w:type="spellStart"/>
            <w:r w:rsidRPr="00B64636">
              <w:t>attendus</w:t>
            </w:r>
            <w:proofErr w:type="spellEnd"/>
            <w:r w:rsidRPr="00B64636">
              <w:t xml:space="preserve"> des </w:t>
            </w:r>
            <w:proofErr w:type="spellStart"/>
            <w:r w:rsidRPr="00B64636">
              <w:t>activités</w:t>
            </w:r>
            <w:proofErr w:type="spellEnd"/>
            <w:r w:rsidRPr="00B64636">
              <w:t xml:space="preserve"> et des interventions sur la couverture </w:t>
            </w:r>
            <w:proofErr w:type="spellStart"/>
            <w:r w:rsidRPr="00B64636">
              <w:t>en</w:t>
            </w:r>
            <w:proofErr w:type="spellEnd"/>
            <w:r w:rsidRPr="00B64636">
              <w:t xml:space="preserve"> </w:t>
            </w:r>
            <w:proofErr w:type="spellStart"/>
            <w:r w:rsidRPr="00B64636">
              <w:t>estimant</w:t>
            </w:r>
            <w:proofErr w:type="spellEnd"/>
            <w:r w:rsidRPr="00B64636">
              <w:t xml:space="preserve"> les impacts sur la </w:t>
            </w:r>
            <w:proofErr w:type="spellStart"/>
            <w:r w:rsidRPr="00B64636">
              <w:t>morbidité</w:t>
            </w:r>
            <w:proofErr w:type="spellEnd"/>
            <w:r w:rsidRPr="00B64636">
              <w:t xml:space="preserve"> et la </w:t>
            </w:r>
            <w:proofErr w:type="spellStart"/>
            <w:r w:rsidRPr="00B64636">
              <w:t>mortalité</w:t>
            </w:r>
            <w:proofErr w:type="spellEnd"/>
            <w:r w:rsidRPr="00B64636">
              <w:t xml:space="preserve">. </w:t>
            </w:r>
            <w:proofErr w:type="spellStart"/>
            <w:r w:rsidRPr="00B64636">
              <w:t>Compte</w:t>
            </w:r>
            <w:proofErr w:type="spellEnd"/>
            <w:r w:rsidRPr="00B64636">
              <w:t xml:space="preserve"> </w:t>
            </w:r>
            <w:proofErr w:type="spellStart"/>
            <w:r w:rsidRPr="00B64636">
              <w:t>tenu</w:t>
            </w:r>
            <w:proofErr w:type="spellEnd"/>
            <w:r w:rsidRPr="00B64636">
              <w:t xml:space="preserve"> de la </w:t>
            </w:r>
            <w:proofErr w:type="spellStart"/>
            <w:r w:rsidRPr="00B64636">
              <w:t>diversité</w:t>
            </w:r>
            <w:proofErr w:type="spellEnd"/>
            <w:r w:rsidRPr="00B64636">
              <w:t xml:space="preserve"> des </w:t>
            </w:r>
            <w:proofErr w:type="spellStart"/>
            <w:r w:rsidRPr="00B64636">
              <w:t>activités</w:t>
            </w:r>
            <w:proofErr w:type="spellEnd"/>
            <w:r w:rsidRPr="00B64636">
              <w:t xml:space="preserve"> qui </w:t>
            </w:r>
            <w:proofErr w:type="spellStart"/>
            <w:r w:rsidRPr="00B64636">
              <w:t>seront</w:t>
            </w:r>
            <w:proofErr w:type="spellEnd"/>
            <w:r w:rsidRPr="00B64636">
              <w:t xml:space="preserve"> </w:t>
            </w:r>
            <w:proofErr w:type="spellStart"/>
            <w:r w:rsidRPr="00B64636">
              <w:t>menées</w:t>
            </w:r>
            <w:proofErr w:type="spellEnd"/>
            <w:r w:rsidRPr="00B64636">
              <w:t xml:space="preserve"> à travers la mise </w:t>
            </w:r>
            <w:proofErr w:type="spellStart"/>
            <w:r w:rsidRPr="00B64636">
              <w:t>en</w:t>
            </w:r>
            <w:proofErr w:type="spellEnd"/>
            <w:r w:rsidRPr="00B64636">
              <w:t xml:space="preserve"> </w:t>
            </w:r>
            <w:proofErr w:type="spellStart"/>
            <w:r w:rsidRPr="00B64636">
              <w:t>œuvre</w:t>
            </w:r>
            <w:proofErr w:type="spellEnd"/>
            <w:r w:rsidRPr="00B64636">
              <w:t xml:space="preserve"> du plan </w:t>
            </w:r>
            <w:proofErr w:type="spellStart"/>
            <w:r w:rsidRPr="00B64636">
              <w:t>stratégique</w:t>
            </w:r>
            <w:proofErr w:type="spellEnd"/>
            <w:r w:rsidRPr="00B64636">
              <w:t xml:space="preserve">, </w:t>
            </w:r>
            <w:proofErr w:type="spellStart"/>
            <w:r w:rsidRPr="00B64636">
              <w:t>une</w:t>
            </w:r>
            <w:proofErr w:type="spellEnd"/>
            <w:r w:rsidRPr="00B64636">
              <w:t xml:space="preserve"> </w:t>
            </w:r>
            <w:proofErr w:type="spellStart"/>
            <w:r w:rsidRPr="00B64636">
              <w:t>corrélation</w:t>
            </w:r>
            <w:proofErr w:type="spellEnd"/>
            <w:r w:rsidRPr="00B64636">
              <w:t xml:space="preserve"> </w:t>
            </w:r>
            <w:proofErr w:type="spellStart"/>
            <w:r w:rsidRPr="00B64636">
              <w:t>cout-efficacité</w:t>
            </w:r>
            <w:proofErr w:type="spellEnd"/>
            <w:r w:rsidRPr="00B64636">
              <w:t xml:space="preserve"> a </w:t>
            </w:r>
            <w:proofErr w:type="spellStart"/>
            <w:r w:rsidRPr="00B64636">
              <w:t>été</w:t>
            </w:r>
            <w:proofErr w:type="spellEnd"/>
            <w:r w:rsidRPr="00B64636">
              <w:t xml:space="preserve"> </w:t>
            </w:r>
            <w:proofErr w:type="spellStart"/>
            <w:r w:rsidRPr="00B64636">
              <w:t>établie</w:t>
            </w:r>
            <w:proofErr w:type="spellEnd"/>
            <w:r w:rsidRPr="00B64636">
              <w:t xml:space="preserve"> entre les interventions VIH/SIDA et les </w:t>
            </w:r>
            <w:proofErr w:type="spellStart"/>
            <w:r w:rsidRPr="00B64636">
              <w:t>activités</w:t>
            </w:r>
            <w:proofErr w:type="spellEnd"/>
            <w:r w:rsidRPr="00B64636">
              <w:t xml:space="preserve"> de mise </w:t>
            </w:r>
            <w:proofErr w:type="spellStart"/>
            <w:r w:rsidRPr="00B64636">
              <w:t>en</w:t>
            </w:r>
            <w:proofErr w:type="spellEnd"/>
            <w:r w:rsidRPr="00B64636">
              <w:t xml:space="preserve"> </w:t>
            </w:r>
            <w:proofErr w:type="spellStart"/>
            <w:r w:rsidRPr="00B64636">
              <w:t>œuvre</w:t>
            </w:r>
            <w:proofErr w:type="spellEnd"/>
            <w:r w:rsidRPr="00B64636">
              <w:t xml:space="preserve">. </w:t>
            </w:r>
          </w:p>
          <w:p w14:paraId="2A15E80F" w14:textId="16C7D0F9" w:rsidR="0098274C" w:rsidRPr="00290EF3" w:rsidRDefault="00B64636" w:rsidP="00750CA9">
            <w:pPr>
              <w:pStyle w:val="Texteformulaire"/>
            </w:pPr>
            <w:r w:rsidRPr="00B64636">
              <w:t xml:space="preserve">Le </w:t>
            </w:r>
            <w:proofErr w:type="spellStart"/>
            <w:r w:rsidRPr="00B64636">
              <w:t>Logiciel</w:t>
            </w:r>
            <w:proofErr w:type="spellEnd"/>
            <w:r w:rsidRPr="00B64636">
              <w:t xml:space="preserve"> </w:t>
            </w:r>
            <w:proofErr w:type="spellStart"/>
            <w:r w:rsidRPr="00B64636">
              <w:t>OneHealth</w:t>
            </w:r>
            <w:proofErr w:type="spellEnd"/>
            <w:r w:rsidRPr="00B64636">
              <w:t xml:space="preserve"> a </w:t>
            </w:r>
            <w:proofErr w:type="spellStart"/>
            <w:r w:rsidRPr="00B64636">
              <w:t>été</w:t>
            </w:r>
            <w:proofErr w:type="spellEnd"/>
            <w:r w:rsidRPr="00B64636">
              <w:t xml:space="preserve"> </w:t>
            </w:r>
            <w:proofErr w:type="spellStart"/>
            <w:r w:rsidRPr="00B64636">
              <w:t>utilisé</w:t>
            </w:r>
            <w:proofErr w:type="spellEnd"/>
            <w:r w:rsidRPr="00B64636">
              <w:t xml:space="preserve"> à </w:t>
            </w:r>
            <w:proofErr w:type="spellStart"/>
            <w:r w:rsidRPr="00B64636">
              <w:t>cet</w:t>
            </w:r>
            <w:proofErr w:type="spellEnd"/>
            <w:r w:rsidRPr="00B64636">
              <w:t xml:space="preserve"> </w:t>
            </w:r>
            <w:proofErr w:type="spellStart"/>
            <w:r w:rsidRPr="00B64636">
              <w:t>effet</w:t>
            </w:r>
            <w:proofErr w:type="spellEnd"/>
            <w:r w:rsidRPr="00B64636">
              <w:t xml:space="preserve">. </w:t>
            </w:r>
            <w:proofErr w:type="spellStart"/>
            <w:r w:rsidRPr="00B64636">
              <w:t>OneHealth</w:t>
            </w:r>
            <w:proofErr w:type="spellEnd"/>
            <w:r w:rsidRPr="00B64636">
              <w:t xml:space="preserve"> a </w:t>
            </w:r>
            <w:proofErr w:type="spellStart"/>
            <w:r w:rsidRPr="00B64636">
              <w:t>permis</w:t>
            </w:r>
            <w:proofErr w:type="spellEnd"/>
            <w:r w:rsidRPr="00B64636">
              <w:t xml:space="preserve"> de combiner Goal </w:t>
            </w:r>
            <w:proofErr w:type="spellStart"/>
            <w:r w:rsidRPr="00B64636">
              <w:t>modèle</w:t>
            </w:r>
            <w:proofErr w:type="spellEnd"/>
            <w:r w:rsidRPr="00B64636">
              <w:t xml:space="preserve"> pour les </w:t>
            </w:r>
            <w:proofErr w:type="spellStart"/>
            <w:r w:rsidRPr="00B64636">
              <w:t>résultats</w:t>
            </w:r>
            <w:proofErr w:type="spellEnd"/>
            <w:r w:rsidRPr="00B64636">
              <w:t xml:space="preserve"> </w:t>
            </w:r>
            <w:proofErr w:type="spellStart"/>
            <w:r w:rsidRPr="00B64636">
              <w:t>d’impact</w:t>
            </w:r>
            <w:proofErr w:type="spellEnd"/>
            <w:r w:rsidRPr="00B64636">
              <w:t xml:space="preserve">, le </w:t>
            </w:r>
            <w:proofErr w:type="spellStart"/>
            <w:r w:rsidRPr="00B64636">
              <w:t>modèle</w:t>
            </w:r>
            <w:proofErr w:type="spellEnd"/>
            <w:r w:rsidRPr="00B64636">
              <w:t xml:space="preserve"> de </w:t>
            </w:r>
            <w:proofErr w:type="spellStart"/>
            <w:r w:rsidRPr="00B64636">
              <w:t>budgétisation</w:t>
            </w:r>
            <w:proofErr w:type="spellEnd"/>
            <w:r w:rsidRPr="00B64636">
              <w:t xml:space="preserve"> et de planification. Le </w:t>
            </w:r>
            <w:proofErr w:type="spellStart"/>
            <w:r w:rsidRPr="00B64636">
              <w:t>Logiciel</w:t>
            </w:r>
            <w:proofErr w:type="spellEnd"/>
            <w:r w:rsidRPr="00B64636">
              <w:t xml:space="preserve"> </w:t>
            </w:r>
            <w:proofErr w:type="spellStart"/>
            <w:r w:rsidRPr="00B64636">
              <w:t>OneHealth</w:t>
            </w:r>
            <w:proofErr w:type="spellEnd"/>
            <w:r w:rsidRPr="00B64636">
              <w:t xml:space="preserve"> </w:t>
            </w:r>
            <w:proofErr w:type="gramStart"/>
            <w:r w:rsidRPr="00B64636">
              <w:t>a</w:t>
            </w:r>
            <w:proofErr w:type="gramEnd"/>
            <w:r w:rsidRPr="00B64636">
              <w:t xml:space="preserve"> </w:t>
            </w:r>
            <w:proofErr w:type="spellStart"/>
            <w:r w:rsidRPr="00B64636">
              <w:t>aussi</w:t>
            </w:r>
            <w:proofErr w:type="spellEnd"/>
            <w:r w:rsidRPr="00B64636">
              <w:t xml:space="preserve"> </w:t>
            </w:r>
            <w:proofErr w:type="spellStart"/>
            <w:r w:rsidRPr="00B64636">
              <w:t>servi</w:t>
            </w:r>
            <w:proofErr w:type="spellEnd"/>
            <w:r w:rsidRPr="00B64636">
              <w:t xml:space="preserve"> à </w:t>
            </w:r>
            <w:proofErr w:type="spellStart"/>
            <w:r w:rsidRPr="00B64636">
              <w:t>interpoler</w:t>
            </w:r>
            <w:proofErr w:type="spellEnd"/>
            <w:r w:rsidRPr="00B64636">
              <w:t xml:space="preserve"> les couvertures </w:t>
            </w:r>
            <w:proofErr w:type="spellStart"/>
            <w:r w:rsidRPr="00B64636">
              <w:t>attendues</w:t>
            </w:r>
            <w:proofErr w:type="spellEnd"/>
            <w:r w:rsidRPr="00B64636">
              <w:t xml:space="preserve"> dans la mise </w:t>
            </w:r>
            <w:proofErr w:type="spellStart"/>
            <w:r w:rsidRPr="00B64636">
              <w:t>en</w:t>
            </w:r>
            <w:proofErr w:type="spellEnd"/>
            <w:r w:rsidRPr="00B64636">
              <w:t xml:space="preserve"> </w:t>
            </w:r>
            <w:proofErr w:type="spellStart"/>
            <w:r w:rsidRPr="00B64636">
              <w:t>œuvre</w:t>
            </w:r>
            <w:proofErr w:type="spellEnd"/>
            <w:r w:rsidRPr="00B64636">
              <w:t xml:space="preserve"> des </w:t>
            </w:r>
            <w:proofErr w:type="spellStart"/>
            <w:r w:rsidRPr="00B64636">
              <w:t>différentes</w:t>
            </w:r>
            <w:proofErr w:type="spellEnd"/>
            <w:r w:rsidRPr="00B64636">
              <w:t xml:space="preserve"> interventions. </w:t>
            </w:r>
            <w:proofErr w:type="spellStart"/>
            <w:r w:rsidRPr="00B64636">
              <w:t>Lorsque</w:t>
            </w:r>
            <w:proofErr w:type="spellEnd"/>
            <w:r w:rsidRPr="00B64636">
              <w:t xml:space="preserve"> les </w:t>
            </w:r>
            <w:proofErr w:type="spellStart"/>
            <w:r w:rsidRPr="00B64636">
              <w:t>coûts</w:t>
            </w:r>
            <w:proofErr w:type="spellEnd"/>
            <w:r w:rsidRPr="00B64636">
              <w:t xml:space="preserve"> </w:t>
            </w:r>
            <w:proofErr w:type="spellStart"/>
            <w:r w:rsidRPr="00B64636">
              <w:t>n’étaient</w:t>
            </w:r>
            <w:proofErr w:type="spellEnd"/>
            <w:r w:rsidRPr="00B64636">
              <w:t xml:space="preserve"> pas </w:t>
            </w:r>
            <w:proofErr w:type="spellStart"/>
            <w:r w:rsidRPr="00B64636">
              <w:t>en</w:t>
            </w:r>
            <w:proofErr w:type="spellEnd"/>
            <w:r w:rsidRPr="00B64636">
              <w:t xml:space="preserve"> </w:t>
            </w:r>
            <w:proofErr w:type="spellStart"/>
            <w:r w:rsidRPr="00B64636">
              <w:t>cohérence</w:t>
            </w:r>
            <w:proofErr w:type="spellEnd"/>
            <w:r w:rsidRPr="00B64636">
              <w:t xml:space="preserve"> avec les budgets, les </w:t>
            </w:r>
            <w:proofErr w:type="spellStart"/>
            <w:r w:rsidRPr="00B64636">
              <w:t>objectifs</w:t>
            </w:r>
            <w:proofErr w:type="spellEnd"/>
            <w:r w:rsidRPr="00B64636">
              <w:t xml:space="preserve"> de couverture </w:t>
            </w:r>
            <w:proofErr w:type="spellStart"/>
            <w:r w:rsidRPr="00B64636">
              <w:t>ont</w:t>
            </w:r>
            <w:proofErr w:type="spellEnd"/>
            <w:r w:rsidRPr="00B64636">
              <w:t xml:space="preserve"> </w:t>
            </w:r>
            <w:proofErr w:type="spellStart"/>
            <w:r w:rsidRPr="00B64636">
              <w:t>été</w:t>
            </w:r>
            <w:proofErr w:type="spellEnd"/>
            <w:r w:rsidRPr="00B64636">
              <w:t xml:space="preserve"> </w:t>
            </w:r>
            <w:proofErr w:type="spellStart"/>
            <w:r w:rsidRPr="00B64636">
              <w:t>corrigés</w:t>
            </w:r>
            <w:proofErr w:type="spellEnd"/>
            <w:r w:rsidRPr="00B64636">
              <w:t xml:space="preserve"> pour assurer un </w:t>
            </w:r>
            <w:proofErr w:type="spellStart"/>
            <w:r w:rsidRPr="00B64636">
              <w:t>alignement</w:t>
            </w:r>
            <w:proofErr w:type="spellEnd"/>
            <w:r w:rsidRPr="00B64636">
              <w:t xml:space="preserve">. Les relations </w:t>
            </w:r>
            <w:proofErr w:type="spellStart"/>
            <w:r w:rsidRPr="00B64636">
              <w:t>coûts</w:t>
            </w:r>
            <w:proofErr w:type="spellEnd"/>
            <w:r w:rsidRPr="00B64636">
              <w:t xml:space="preserve"> </w:t>
            </w:r>
            <w:proofErr w:type="spellStart"/>
            <w:r w:rsidRPr="00B64636">
              <w:t>efficacités</w:t>
            </w:r>
            <w:proofErr w:type="spellEnd"/>
            <w:r w:rsidRPr="00B64636">
              <w:t xml:space="preserve"> </w:t>
            </w:r>
            <w:proofErr w:type="spellStart"/>
            <w:r w:rsidRPr="00B64636">
              <w:t>ont</w:t>
            </w:r>
            <w:proofErr w:type="spellEnd"/>
            <w:r w:rsidRPr="00B64636">
              <w:t xml:space="preserve"> </w:t>
            </w:r>
            <w:proofErr w:type="spellStart"/>
            <w:r w:rsidRPr="00B64636">
              <w:t>été</w:t>
            </w:r>
            <w:proofErr w:type="spellEnd"/>
            <w:r w:rsidRPr="00B64636">
              <w:t xml:space="preserve"> </w:t>
            </w:r>
            <w:proofErr w:type="spellStart"/>
            <w:r w:rsidRPr="00B64636">
              <w:t>établies</w:t>
            </w:r>
            <w:proofErr w:type="spellEnd"/>
            <w:r w:rsidRPr="00B64636">
              <w:t xml:space="preserve"> à travers la mise </w:t>
            </w:r>
            <w:proofErr w:type="spellStart"/>
            <w:r w:rsidRPr="00B64636">
              <w:t>en</w:t>
            </w:r>
            <w:proofErr w:type="spellEnd"/>
            <w:r w:rsidRPr="00B64636">
              <w:t xml:space="preserve"> </w:t>
            </w:r>
            <w:proofErr w:type="spellStart"/>
            <w:r w:rsidRPr="00B64636">
              <w:t>œuvre</w:t>
            </w:r>
            <w:proofErr w:type="spellEnd"/>
            <w:r w:rsidRPr="00B64636">
              <w:t xml:space="preserve"> des interventions à </w:t>
            </w:r>
            <w:proofErr w:type="spellStart"/>
            <w:r w:rsidRPr="00B64636">
              <w:t>hauts</w:t>
            </w:r>
            <w:proofErr w:type="spellEnd"/>
            <w:r w:rsidRPr="00B64636">
              <w:t xml:space="preserve"> impacts </w:t>
            </w:r>
            <w:proofErr w:type="spellStart"/>
            <w:r w:rsidRPr="00B64636">
              <w:t>tels</w:t>
            </w:r>
            <w:proofErr w:type="spellEnd"/>
            <w:r w:rsidRPr="00B64636">
              <w:t xml:space="preserve"> que les interventions </w:t>
            </w:r>
            <w:proofErr w:type="spellStart"/>
            <w:r w:rsidRPr="00B64636">
              <w:t>orientées</w:t>
            </w:r>
            <w:proofErr w:type="spellEnd"/>
            <w:r w:rsidRPr="00B64636">
              <w:t xml:space="preserve"> </w:t>
            </w:r>
            <w:proofErr w:type="spellStart"/>
            <w:r w:rsidRPr="00B64636">
              <w:t>vers</w:t>
            </w:r>
            <w:proofErr w:type="spellEnd"/>
            <w:r w:rsidRPr="00B64636">
              <w:t xml:space="preserve"> les populations </w:t>
            </w:r>
            <w:proofErr w:type="spellStart"/>
            <w:r w:rsidRPr="00B64636">
              <w:t>clé</w:t>
            </w:r>
            <w:proofErr w:type="spellEnd"/>
            <w:r w:rsidRPr="00B64636">
              <w:t xml:space="preserve">, le </w:t>
            </w:r>
            <w:proofErr w:type="spellStart"/>
            <w:r w:rsidRPr="00B64636">
              <w:t>dépistage</w:t>
            </w:r>
            <w:proofErr w:type="spellEnd"/>
            <w:r w:rsidRPr="00B64636">
              <w:t xml:space="preserve"> des </w:t>
            </w:r>
            <w:proofErr w:type="spellStart"/>
            <w:r w:rsidRPr="00B64636">
              <w:t>personnes</w:t>
            </w:r>
            <w:proofErr w:type="spellEnd"/>
            <w:r w:rsidRPr="00B64636">
              <w:t xml:space="preserve"> à </w:t>
            </w:r>
            <w:proofErr w:type="spellStart"/>
            <w:r w:rsidRPr="00B64636">
              <w:t>risque</w:t>
            </w:r>
            <w:proofErr w:type="spellEnd"/>
            <w:r w:rsidRPr="00B64636">
              <w:t xml:space="preserve"> et mise </w:t>
            </w:r>
            <w:proofErr w:type="spellStart"/>
            <w:r w:rsidRPr="00B64636">
              <w:t>systématiques</w:t>
            </w:r>
            <w:proofErr w:type="spellEnd"/>
            <w:r w:rsidRPr="00B64636">
              <w:t xml:space="preserve"> des </w:t>
            </w:r>
            <w:proofErr w:type="spellStart"/>
            <w:r w:rsidRPr="00B64636">
              <w:t>personnes</w:t>
            </w:r>
            <w:proofErr w:type="spellEnd"/>
            <w:r w:rsidRPr="00B64636">
              <w:t xml:space="preserve"> </w:t>
            </w:r>
            <w:proofErr w:type="spellStart"/>
            <w:r w:rsidRPr="00B64636">
              <w:t>testées</w:t>
            </w:r>
            <w:proofErr w:type="spellEnd"/>
            <w:r w:rsidRPr="00B64636">
              <w:t xml:space="preserve"> positives sous </w:t>
            </w:r>
            <w:proofErr w:type="spellStart"/>
            <w:r w:rsidRPr="00B64636">
              <w:t>traitement</w:t>
            </w:r>
            <w:proofErr w:type="spellEnd"/>
            <w:r w:rsidRPr="00B64636">
              <w:t xml:space="preserve"> ARV.</w:t>
            </w:r>
          </w:p>
        </w:tc>
      </w:tr>
    </w:tbl>
    <w:p w14:paraId="009DE181" w14:textId="77777777" w:rsidR="00EA6611" w:rsidRDefault="00EA6611" w:rsidP="009B6C0D">
      <w:pPr>
        <w:spacing w:after="0" w:line="0" w:lineRule="auto"/>
      </w:pPr>
      <w:r w:rsidRPr="00E80CEF">
        <w:br w:type="page"/>
      </w:r>
    </w:p>
    <w:p w14:paraId="00FEB4E3" w14:textId="7947DA3B" w:rsidR="0098274C" w:rsidRPr="00D236CA" w:rsidRDefault="0098274C" w:rsidP="00E80CEF">
      <w:pPr>
        <w:pStyle w:val="Heading2"/>
        <w:numPr>
          <w:ilvl w:val="1"/>
          <w:numId w:val="25"/>
        </w:numPr>
        <w:shd w:val="clear" w:color="auto" w:fill="D9D9D9" w:themeFill="background1" w:themeFillShade="D9"/>
        <w:spacing w:before="0"/>
        <w:contextualSpacing/>
      </w:pPr>
      <w:r w:rsidRPr="00E80CEF">
        <w:lastRenderedPageBreak/>
        <w:t>Fonds de contrepartie (le cas échéant)</w:t>
      </w:r>
    </w:p>
    <w:p w14:paraId="33365B7C" w14:textId="77777777" w:rsidR="0003674B" w:rsidRPr="00D236CA" w:rsidRDefault="0003674B" w:rsidP="009B6C0D">
      <w:pPr>
        <w:spacing w:after="0"/>
      </w:pPr>
    </w:p>
    <w:p w14:paraId="6427FD4D" w14:textId="1F26EBF2" w:rsidR="006D0956" w:rsidRPr="00750CA9" w:rsidRDefault="006D0956" w:rsidP="009B6C0D">
      <w:pPr>
        <w:spacing w:after="0"/>
        <w:rPr>
          <w:rFonts w:ascii="Arial" w:hAnsi="Arial"/>
          <w:sz w:val="22"/>
        </w:rPr>
      </w:pPr>
      <w:r>
        <w:t>Seuls les candidats dont la lettre d’allocation indique que des fonds de contrepartie leur ont été assignés sont tenus de répondre à cette question.</w:t>
      </w:r>
    </w:p>
    <w:p w14:paraId="7002C322" w14:textId="77777777" w:rsidR="0003674B" w:rsidRPr="00D236CA" w:rsidRDefault="0003674B" w:rsidP="009B6C0D">
      <w:pPr>
        <w:spacing w:after="0"/>
      </w:pPr>
    </w:p>
    <w:p w14:paraId="466E1426" w14:textId="47608335" w:rsidR="0098274C" w:rsidRPr="00750CA9" w:rsidRDefault="006D0956" w:rsidP="009B6C0D">
      <w:pPr>
        <w:spacing w:after="0"/>
        <w:rPr>
          <w:rFonts w:ascii="Arial" w:hAnsi="Arial"/>
          <w:sz w:val="22"/>
        </w:rPr>
      </w:pPr>
      <w:r>
        <w:t>Décrire en quoi les</w:t>
      </w:r>
      <w:r>
        <w:rPr>
          <w:b/>
        </w:rPr>
        <w:t xml:space="preserve"> conditions programmatiques et financières</w:t>
      </w:r>
      <w:r>
        <w:t xml:space="preserve"> énoncées dans la lettre d’allocation ont été remplies.</w:t>
      </w:r>
    </w:p>
    <w:p w14:paraId="5C9655F4" w14:textId="77777777" w:rsidR="0003674B" w:rsidRPr="00D236CA" w:rsidRDefault="0003674B" w:rsidP="009B6C0D">
      <w:pPr>
        <w:spacing w:after="0"/>
      </w:pPr>
    </w:p>
    <w:tbl>
      <w:tblPr>
        <w:tblStyle w:val="TableGrid"/>
        <w:tblW w:w="0" w:type="auto"/>
        <w:tblLook w:val="04A0" w:firstRow="1" w:lastRow="0" w:firstColumn="1" w:lastColumn="0" w:noHBand="0" w:noVBand="1"/>
      </w:tblPr>
      <w:tblGrid>
        <w:gridCol w:w="10456"/>
      </w:tblGrid>
      <w:tr w:rsidR="0098274C" w:rsidRPr="005305D5" w14:paraId="3A82466F" w14:textId="77777777" w:rsidTr="00D63E4B">
        <w:tc>
          <w:tcPr>
            <w:tcW w:w="10790" w:type="dxa"/>
          </w:tcPr>
          <w:p w14:paraId="66A221E3" w14:textId="0F4D6C9D" w:rsidR="00C56F6B" w:rsidRDefault="00615E40" w:rsidP="00615E40">
            <w:pPr>
              <w:pStyle w:val="Texteformulaire"/>
            </w:pPr>
            <w:r>
              <w:t xml:space="preserve">Les </w:t>
            </w:r>
            <w:proofErr w:type="spellStart"/>
            <w:r>
              <w:t>résultats</w:t>
            </w:r>
            <w:proofErr w:type="spellEnd"/>
            <w:r>
              <w:t xml:space="preserve"> de </w:t>
            </w:r>
            <w:proofErr w:type="spellStart"/>
            <w:r>
              <w:t>l’évaluation</w:t>
            </w:r>
            <w:proofErr w:type="spellEnd"/>
            <w:r>
              <w:t xml:space="preserve"> de </w:t>
            </w:r>
            <w:proofErr w:type="spellStart"/>
            <w:r>
              <w:t>référence</w:t>
            </w:r>
            <w:proofErr w:type="spellEnd"/>
            <w:r>
              <w:t xml:space="preserve"> sur les droits </w:t>
            </w:r>
            <w:proofErr w:type="spellStart"/>
            <w:r>
              <w:t>humains</w:t>
            </w:r>
            <w:proofErr w:type="spellEnd"/>
            <w:r>
              <w:t xml:space="preserve"> </w:t>
            </w:r>
            <w:proofErr w:type="spellStart"/>
            <w:r>
              <w:t>réalisés</w:t>
            </w:r>
            <w:proofErr w:type="spellEnd"/>
            <w:r>
              <w:t xml:space="preserve"> </w:t>
            </w:r>
            <w:proofErr w:type="spellStart"/>
            <w:r>
              <w:t>en</w:t>
            </w:r>
            <w:proofErr w:type="spellEnd"/>
            <w:r>
              <w:t xml:space="preserve"> 2017 a </w:t>
            </w:r>
            <w:proofErr w:type="spellStart"/>
            <w:r>
              <w:t>permis</w:t>
            </w:r>
            <w:proofErr w:type="spellEnd"/>
            <w:r>
              <w:t xml:space="preserve"> </w:t>
            </w:r>
            <w:proofErr w:type="spellStart"/>
            <w:r>
              <w:t>en</w:t>
            </w:r>
            <w:proofErr w:type="spellEnd"/>
            <w:r>
              <w:t xml:space="preserve"> </w:t>
            </w:r>
            <w:proofErr w:type="spellStart"/>
            <w:r>
              <w:t>septembre</w:t>
            </w:r>
            <w:proofErr w:type="spellEnd"/>
            <w:r>
              <w:t xml:space="preserve"> 2019 de </w:t>
            </w:r>
            <w:proofErr w:type="spellStart"/>
            <w:r>
              <w:t>conduire</w:t>
            </w:r>
            <w:proofErr w:type="spellEnd"/>
            <w:r>
              <w:t xml:space="preserve"> </w:t>
            </w:r>
            <w:proofErr w:type="spellStart"/>
            <w:r>
              <w:t>une</w:t>
            </w:r>
            <w:proofErr w:type="spellEnd"/>
            <w:r>
              <w:t xml:space="preserve"> consultation </w:t>
            </w:r>
            <w:proofErr w:type="spellStart"/>
            <w:r>
              <w:t>multisectorielle</w:t>
            </w:r>
            <w:proofErr w:type="spellEnd"/>
            <w:r>
              <w:t xml:space="preserve"> </w:t>
            </w:r>
            <w:proofErr w:type="spellStart"/>
            <w:r>
              <w:t>nationale</w:t>
            </w:r>
            <w:proofErr w:type="spellEnd"/>
            <w:r>
              <w:t xml:space="preserve"> sur les droits </w:t>
            </w:r>
            <w:proofErr w:type="spellStart"/>
            <w:r>
              <w:t>humains</w:t>
            </w:r>
            <w:proofErr w:type="spellEnd"/>
            <w:r>
              <w:t xml:space="preserve"> qui </w:t>
            </w:r>
            <w:proofErr w:type="gramStart"/>
            <w:r>
              <w:t>a</w:t>
            </w:r>
            <w:proofErr w:type="gramEnd"/>
            <w:r>
              <w:t xml:space="preserve"> </w:t>
            </w:r>
            <w:proofErr w:type="spellStart"/>
            <w:r>
              <w:t>abouti</w:t>
            </w:r>
            <w:proofErr w:type="spellEnd"/>
            <w:r>
              <w:t xml:space="preserve"> à </w:t>
            </w:r>
            <w:proofErr w:type="spellStart"/>
            <w:r>
              <w:t>l’élaboration</w:t>
            </w:r>
            <w:proofErr w:type="spellEnd"/>
            <w:r>
              <w:t xml:space="preserve"> d’un Plan </w:t>
            </w:r>
            <w:proofErr w:type="spellStart"/>
            <w:r>
              <w:t>Quinquennal</w:t>
            </w:r>
            <w:proofErr w:type="spellEnd"/>
            <w:r>
              <w:t xml:space="preserve"> Droits </w:t>
            </w:r>
            <w:proofErr w:type="spellStart"/>
            <w:r>
              <w:t>Humains</w:t>
            </w:r>
            <w:proofErr w:type="spellEnd"/>
            <w:r>
              <w:t xml:space="preserve"> VIH et </w:t>
            </w:r>
            <w:proofErr w:type="spellStart"/>
            <w:r>
              <w:t>Tuberculose</w:t>
            </w:r>
            <w:proofErr w:type="spellEnd"/>
            <w:r>
              <w:t xml:space="preserve"> de la Côte d’Ivoire 2021-2025</w:t>
            </w:r>
            <w:r w:rsidR="00080EE0">
              <w:t xml:space="preserve"> </w:t>
            </w:r>
            <w:r w:rsidR="00080EE0" w:rsidRPr="00080EE0">
              <w:rPr>
                <w:i/>
                <w:iCs/>
              </w:rPr>
              <w:t>(</w:t>
            </w:r>
            <w:proofErr w:type="spellStart"/>
            <w:r w:rsidR="00080EE0" w:rsidRPr="00080EE0">
              <w:rPr>
                <w:i/>
                <w:iCs/>
              </w:rPr>
              <w:t>Annexe</w:t>
            </w:r>
            <w:proofErr w:type="spellEnd"/>
            <w:r w:rsidR="00080EE0" w:rsidRPr="00080EE0">
              <w:rPr>
                <w:i/>
                <w:iCs/>
              </w:rPr>
              <w:t xml:space="preserve"> 3</w:t>
            </w:r>
            <w:r w:rsidR="00080EE0">
              <w:rPr>
                <w:i/>
                <w:iCs/>
              </w:rPr>
              <w:t>5</w:t>
            </w:r>
            <w:r w:rsidR="00080EE0" w:rsidRPr="00080EE0">
              <w:rPr>
                <w:i/>
                <w:iCs/>
              </w:rPr>
              <w:t>)</w:t>
            </w:r>
            <w:r>
              <w:t xml:space="preserve">. </w:t>
            </w:r>
          </w:p>
          <w:p w14:paraId="1AB17F84" w14:textId="3E693EFC" w:rsidR="00C56F6B" w:rsidRDefault="00615E40" w:rsidP="00615E40">
            <w:pPr>
              <w:pStyle w:val="Texteformulaire"/>
            </w:pPr>
            <w:r>
              <w:t xml:space="preserve">Ce plan </w:t>
            </w:r>
            <w:proofErr w:type="spellStart"/>
            <w:r>
              <w:t>quinquennal</w:t>
            </w:r>
            <w:proofErr w:type="spellEnd"/>
            <w:r>
              <w:t xml:space="preserve"> </w:t>
            </w:r>
            <w:proofErr w:type="spellStart"/>
            <w:r>
              <w:t>sert</w:t>
            </w:r>
            <w:proofErr w:type="spellEnd"/>
            <w:r>
              <w:t xml:space="preserve"> de </w:t>
            </w:r>
            <w:proofErr w:type="spellStart"/>
            <w:r>
              <w:t>stratégie</w:t>
            </w:r>
            <w:proofErr w:type="spellEnd"/>
            <w:r>
              <w:t xml:space="preserve"> de mise </w:t>
            </w:r>
            <w:proofErr w:type="spellStart"/>
            <w:r>
              <w:t>en</w:t>
            </w:r>
            <w:proofErr w:type="spellEnd"/>
            <w:r>
              <w:t xml:space="preserve"> </w:t>
            </w:r>
            <w:proofErr w:type="spellStart"/>
            <w:r>
              <w:t>œuvre</w:t>
            </w:r>
            <w:proofErr w:type="spellEnd"/>
            <w:r>
              <w:t xml:space="preserve"> pour lever les </w:t>
            </w:r>
            <w:proofErr w:type="spellStart"/>
            <w:r>
              <w:t>barrières</w:t>
            </w:r>
            <w:proofErr w:type="spellEnd"/>
            <w:r>
              <w:t xml:space="preserve"> qui </w:t>
            </w:r>
            <w:proofErr w:type="spellStart"/>
            <w:r>
              <w:t>entravent</w:t>
            </w:r>
            <w:proofErr w:type="spellEnd"/>
            <w:r>
              <w:t xml:space="preserve"> </w:t>
            </w:r>
            <w:proofErr w:type="spellStart"/>
            <w:r>
              <w:t>l’accès</w:t>
            </w:r>
            <w:proofErr w:type="spellEnd"/>
            <w:r>
              <w:t xml:space="preserve"> aux services de </w:t>
            </w:r>
            <w:proofErr w:type="spellStart"/>
            <w:r>
              <w:t>prévention</w:t>
            </w:r>
            <w:proofErr w:type="spellEnd"/>
            <w:r>
              <w:t xml:space="preserve"> et de </w:t>
            </w:r>
            <w:proofErr w:type="spellStart"/>
            <w:r>
              <w:t>prise</w:t>
            </w:r>
            <w:proofErr w:type="spellEnd"/>
            <w:r>
              <w:t xml:space="preserve"> </w:t>
            </w:r>
            <w:proofErr w:type="spellStart"/>
            <w:r>
              <w:t>en</w:t>
            </w:r>
            <w:proofErr w:type="spellEnd"/>
            <w:r>
              <w:t xml:space="preserve"> charge du VIH au </w:t>
            </w:r>
            <w:proofErr w:type="spellStart"/>
            <w:r>
              <w:t>niveau</w:t>
            </w:r>
            <w:proofErr w:type="spellEnd"/>
            <w:r>
              <w:t xml:space="preserve"> des populations </w:t>
            </w:r>
            <w:proofErr w:type="spellStart"/>
            <w:r>
              <w:t>clés</w:t>
            </w:r>
            <w:proofErr w:type="spellEnd"/>
            <w:r>
              <w:t xml:space="preserve"> et </w:t>
            </w:r>
            <w:proofErr w:type="spellStart"/>
            <w:r>
              <w:t>vulnérables</w:t>
            </w:r>
            <w:proofErr w:type="spellEnd"/>
            <w:r>
              <w:t xml:space="preserve">. Les </w:t>
            </w:r>
            <w:proofErr w:type="spellStart"/>
            <w:r>
              <w:t>activités</w:t>
            </w:r>
            <w:proofErr w:type="spellEnd"/>
            <w:r>
              <w:t xml:space="preserve"> </w:t>
            </w:r>
            <w:proofErr w:type="spellStart"/>
            <w:r w:rsidR="00C56F6B">
              <w:t>suivantes</w:t>
            </w:r>
            <w:proofErr w:type="spellEnd"/>
            <w:r w:rsidR="00C56F6B">
              <w:t xml:space="preserve"> </w:t>
            </w:r>
            <w:r>
              <w:t xml:space="preserve">relatives aux Droits </w:t>
            </w:r>
            <w:proofErr w:type="spellStart"/>
            <w:r>
              <w:t>Humains</w:t>
            </w:r>
            <w:proofErr w:type="spellEnd"/>
            <w:r>
              <w:t xml:space="preserve"> du PSN VIH 2021-2025 </w:t>
            </w:r>
            <w:proofErr w:type="spellStart"/>
            <w:r>
              <w:t>en</w:t>
            </w:r>
            <w:proofErr w:type="spellEnd"/>
            <w:r>
              <w:t xml:space="preserve"> </w:t>
            </w:r>
            <w:proofErr w:type="spellStart"/>
            <w:r>
              <w:t>découlent</w:t>
            </w:r>
            <w:proofErr w:type="spellEnd"/>
            <w:r>
              <w:t xml:space="preserve"> </w:t>
            </w:r>
            <w:proofErr w:type="spellStart"/>
            <w:r>
              <w:t>directement</w:t>
            </w:r>
            <w:proofErr w:type="spellEnd"/>
            <w:r>
              <w:t> : (</w:t>
            </w:r>
            <w:proofErr w:type="spellStart"/>
            <w:r>
              <w:t>i</w:t>
            </w:r>
            <w:proofErr w:type="spellEnd"/>
            <w:r>
              <w:t xml:space="preserve">) </w:t>
            </w:r>
            <w:proofErr w:type="spellStart"/>
            <w:r>
              <w:t>réduire</w:t>
            </w:r>
            <w:proofErr w:type="spellEnd"/>
            <w:r>
              <w:t xml:space="preserve"> de 75%</w:t>
            </w:r>
            <w:r w:rsidRPr="006541C4">
              <w:t xml:space="preserve"> </w:t>
            </w:r>
            <w:r>
              <w:t>l</w:t>
            </w:r>
            <w:r w:rsidRPr="00AC6E6E">
              <w:t xml:space="preserve">a </w:t>
            </w:r>
            <w:proofErr w:type="spellStart"/>
            <w:r w:rsidRPr="00AC6E6E">
              <w:t>stigmatisation</w:t>
            </w:r>
            <w:proofErr w:type="spellEnd"/>
            <w:r w:rsidRPr="00AC6E6E">
              <w:t xml:space="preserve"> et la discrimination </w:t>
            </w:r>
            <w:proofErr w:type="spellStart"/>
            <w:r w:rsidRPr="00AC6E6E">
              <w:t>envers</w:t>
            </w:r>
            <w:proofErr w:type="spellEnd"/>
            <w:r w:rsidRPr="00AC6E6E">
              <w:t xml:space="preserve"> les PVVIH et les populations </w:t>
            </w:r>
            <w:proofErr w:type="spellStart"/>
            <w:r w:rsidRPr="00AC6E6E">
              <w:t>clés</w:t>
            </w:r>
            <w:proofErr w:type="spellEnd"/>
            <w:r>
              <w:t xml:space="preserve"> dans les </w:t>
            </w:r>
            <w:proofErr w:type="spellStart"/>
            <w:r>
              <w:t>établissements</w:t>
            </w:r>
            <w:proofErr w:type="spellEnd"/>
            <w:r>
              <w:t xml:space="preserve"> de santé ; (ii) </w:t>
            </w:r>
            <w:proofErr w:type="spellStart"/>
            <w:r>
              <w:t>Contribuer</w:t>
            </w:r>
            <w:proofErr w:type="spellEnd"/>
            <w:r>
              <w:t xml:space="preserve"> à </w:t>
            </w:r>
            <w:proofErr w:type="spellStart"/>
            <w:r>
              <w:t>améliorer</w:t>
            </w:r>
            <w:proofErr w:type="spellEnd"/>
            <w:r>
              <w:t xml:space="preserve"> </w:t>
            </w:r>
            <w:proofErr w:type="spellStart"/>
            <w:r>
              <w:t>l’environnement</w:t>
            </w:r>
            <w:proofErr w:type="spellEnd"/>
            <w:r>
              <w:t xml:space="preserve"> par </w:t>
            </w:r>
            <w:proofErr w:type="spellStart"/>
            <w:r>
              <w:t>l’implication</w:t>
            </w:r>
            <w:proofErr w:type="spellEnd"/>
            <w:r>
              <w:t xml:space="preserve"> des </w:t>
            </w:r>
            <w:proofErr w:type="spellStart"/>
            <w:r w:rsidRPr="00AC6E6E">
              <w:t>législateurs</w:t>
            </w:r>
            <w:proofErr w:type="spellEnd"/>
            <w:r w:rsidRPr="00AC6E6E">
              <w:t xml:space="preserve">, les leaders </w:t>
            </w:r>
            <w:proofErr w:type="spellStart"/>
            <w:r w:rsidRPr="00AC6E6E">
              <w:t>d'opinion</w:t>
            </w:r>
            <w:proofErr w:type="spellEnd"/>
            <w:r w:rsidRPr="00AC6E6E">
              <w:t xml:space="preserve"> et les </w:t>
            </w:r>
            <w:proofErr w:type="spellStart"/>
            <w:r w:rsidRPr="00AC6E6E">
              <w:t>professionnels</w:t>
            </w:r>
            <w:proofErr w:type="spellEnd"/>
            <w:r w:rsidRPr="00AC6E6E">
              <w:t xml:space="preserve"> du </w:t>
            </w:r>
            <w:proofErr w:type="spellStart"/>
            <w:r w:rsidRPr="00AC6E6E">
              <w:t>parcours</w:t>
            </w:r>
            <w:proofErr w:type="spellEnd"/>
            <w:r w:rsidRPr="00AC6E6E">
              <w:t xml:space="preserve"> de justice</w:t>
            </w:r>
            <w:r>
              <w:t xml:space="preserve">; (iii) </w:t>
            </w:r>
            <w:proofErr w:type="spellStart"/>
            <w:r>
              <w:t>Fournir</w:t>
            </w:r>
            <w:proofErr w:type="spellEnd"/>
            <w:r>
              <w:t xml:space="preserve"> un </w:t>
            </w:r>
            <w:proofErr w:type="spellStart"/>
            <w:r w:rsidRPr="00AC6E6E">
              <w:t>soutien</w:t>
            </w:r>
            <w:proofErr w:type="spellEnd"/>
            <w:r w:rsidRPr="00AC6E6E">
              <w:t xml:space="preserve"> </w:t>
            </w:r>
            <w:proofErr w:type="spellStart"/>
            <w:r w:rsidRPr="00AC6E6E">
              <w:t>juridique</w:t>
            </w:r>
            <w:proofErr w:type="spellEnd"/>
            <w:r w:rsidRPr="00AC6E6E">
              <w:t xml:space="preserve"> et </w:t>
            </w:r>
            <w:proofErr w:type="spellStart"/>
            <w:r w:rsidRPr="00AC6E6E">
              <w:t>judiciaire</w:t>
            </w:r>
            <w:proofErr w:type="spellEnd"/>
            <w:r w:rsidRPr="00AC6E6E">
              <w:t xml:space="preserve"> dans le cadre du respect des droits </w:t>
            </w:r>
            <w:proofErr w:type="spellStart"/>
            <w:r w:rsidRPr="00AC6E6E">
              <w:t>humain</w:t>
            </w:r>
            <w:proofErr w:type="spellEnd"/>
            <w:r>
              <w:t xml:space="preserve"> à </w:t>
            </w:r>
            <w:proofErr w:type="spellStart"/>
            <w:r>
              <w:t>l’ensemble</w:t>
            </w:r>
            <w:proofErr w:type="spellEnd"/>
            <w:r>
              <w:t xml:space="preserve"> des populations </w:t>
            </w:r>
            <w:proofErr w:type="spellStart"/>
            <w:r>
              <w:t>clés</w:t>
            </w:r>
            <w:proofErr w:type="spellEnd"/>
            <w:r>
              <w:t xml:space="preserve"> ; (iv) </w:t>
            </w:r>
            <w:proofErr w:type="spellStart"/>
            <w:r>
              <w:t>intégrer</w:t>
            </w:r>
            <w:proofErr w:type="spellEnd"/>
            <w:r>
              <w:t xml:space="preserve"> </w:t>
            </w:r>
            <w:proofErr w:type="spellStart"/>
            <w:r>
              <w:t>l’équiter</w:t>
            </w:r>
            <w:proofErr w:type="spellEnd"/>
            <w:r>
              <w:t xml:space="preserve"> et le genre dans </w:t>
            </w:r>
            <w:proofErr w:type="spellStart"/>
            <w:r>
              <w:t>l’ensemble</w:t>
            </w:r>
            <w:proofErr w:type="spellEnd"/>
            <w:r>
              <w:t xml:space="preserve"> des </w:t>
            </w:r>
            <w:proofErr w:type="spellStart"/>
            <w:r>
              <w:t>programmes</w:t>
            </w:r>
            <w:proofErr w:type="spellEnd"/>
            <w:r>
              <w:t xml:space="preserve"> ; </w:t>
            </w:r>
            <w:r w:rsidR="00C56F6B">
              <w:t xml:space="preserve">(v) </w:t>
            </w:r>
            <w:proofErr w:type="spellStart"/>
            <w:r>
              <w:t>fournir</w:t>
            </w:r>
            <w:proofErr w:type="spellEnd"/>
            <w:r>
              <w:t xml:space="preserve"> </w:t>
            </w:r>
            <w:proofErr w:type="spellStart"/>
            <w:r>
              <w:t>l’assistance</w:t>
            </w:r>
            <w:proofErr w:type="spellEnd"/>
            <w:r>
              <w:t xml:space="preserve"> </w:t>
            </w:r>
            <w:proofErr w:type="spellStart"/>
            <w:r w:rsidRPr="006541C4">
              <w:t>juridique</w:t>
            </w:r>
            <w:proofErr w:type="spellEnd"/>
            <w:r w:rsidRPr="006541C4">
              <w:t xml:space="preserve"> et </w:t>
            </w:r>
            <w:proofErr w:type="spellStart"/>
            <w:r w:rsidRPr="006541C4">
              <w:t>judiciaire</w:t>
            </w:r>
            <w:proofErr w:type="spellEnd"/>
            <w:r>
              <w:t xml:space="preserve"> aux populations </w:t>
            </w:r>
            <w:proofErr w:type="spellStart"/>
            <w:r>
              <w:t>clés</w:t>
            </w:r>
            <w:proofErr w:type="spellEnd"/>
            <w:r>
              <w:t xml:space="preserve">. </w:t>
            </w:r>
          </w:p>
          <w:p w14:paraId="7EE8B50F" w14:textId="77777777" w:rsidR="00C56F6B" w:rsidRDefault="00C56F6B" w:rsidP="00615E40">
            <w:pPr>
              <w:pStyle w:val="Texteformulaire"/>
            </w:pPr>
            <w:r>
              <w:t>U</w:t>
            </w:r>
            <w:r w:rsidR="00615E40">
              <w:t>n</w:t>
            </w:r>
            <w:r w:rsidR="00615E40" w:rsidRPr="00EC5CE0">
              <w:t xml:space="preserve"> </w:t>
            </w:r>
            <w:proofErr w:type="spellStart"/>
            <w:r w:rsidR="00615E40" w:rsidRPr="00EC5CE0">
              <w:t>dispositif</w:t>
            </w:r>
            <w:proofErr w:type="spellEnd"/>
            <w:r w:rsidR="00615E40" w:rsidRPr="00EC5CE0">
              <w:t xml:space="preserve"> national de coordination par les parties </w:t>
            </w:r>
            <w:proofErr w:type="spellStart"/>
            <w:r w:rsidR="00615E40" w:rsidRPr="00EC5CE0">
              <w:t>prenantes</w:t>
            </w:r>
            <w:proofErr w:type="spellEnd"/>
            <w:r w:rsidR="00615E40" w:rsidRPr="00EC5CE0">
              <w:t xml:space="preserve"> </w:t>
            </w:r>
            <w:proofErr w:type="spellStart"/>
            <w:r w:rsidR="00615E40" w:rsidRPr="00EC5CE0">
              <w:t>veille</w:t>
            </w:r>
            <w:proofErr w:type="spellEnd"/>
            <w:r w:rsidR="00615E40" w:rsidRPr="00EC5CE0">
              <w:t xml:space="preserve"> au </w:t>
            </w:r>
            <w:proofErr w:type="spellStart"/>
            <w:r w:rsidR="00615E40" w:rsidRPr="00EC5CE0">
              <w:t>suivi</w:t>
            </w:r>
            <w:proofErr w:type="spellEnd"/>
            <w:r w:rsidR="00615E40" w:rsidRPr="00EC5CE0">
              <w:t xml:space="preserve"> </w:t>
            </w:r>
            <w:proofErr w:type="spellStart"/>
            <w:r w:rsidR="00615E40" w:rsidRPr="00EC5CE0">
              <w:t>stratégique</w:t>
            </w:r>
            <w:proofErr w:type="spellEnd"/>
            <w:r w:rsidR="00615E40">
              <w:t xml:space="preserve"> à travers un </w:t>
            </w:r>
            <w:proofErr w:type="spellStart"/>
            <w:r w:rsidR="00615E40">
              <w:t>observatoire</w:t>
            </w:r>
            <w:proofErr w:type="spellEnd"/>
            <w:r w:rsidR="00615E40">
              <w:t xml:space="preserve"> national des droits </w:t>
            </w:r>
            <w:proofErr w:type="spellStart"/>
            <w:r w:rsidR="00615E40">
              <w:t>humains</w:t>
            </w:r>
            <w:proofErr w:type="spellEnd"/>
            <w:r>
              <w:t xml:space="preserve"> mis </w:t>
            </w:r>
            <w:proofErr w:type="spellStart"/>
            <w:r>
              <w:t>en</w:t>
            </w:r>
            <w:proofErr w:type="spellEnd"/>
            <w:r>
              <w:t xml:space="preserve"> place </w:t>
            </w:r>
            <w:proofErr w:type="spellStart"/>
            <w:r>
              <w:t>en</w:t>
            </w:r>
            <w:proofErr w:type="spellEnd"/>
            <w:r>
              <w:t xml:space="preserve"> 2018</w:t>
            </w:r>
            <w:r w:rsidR="00615E40">
              <w:t xml:space="preserve">. </w:t>
            </w:r>
            <w:r>
              <w:t>D</w:t>
            </w:r>
            <w:r w:rsidR="00615E40">
              <w:t>ans le cadre d</w:t>
            </w:r>
            <w:r>
              <w:t xml:space="preserve">u </w:t>
            </w:r>
            <w:r w:rsidR="00615E40">
              <w:t>NMF3</w:t>
            </w:r>
            <w:r>
              <w:t xml:space="preserve">, </w:t>
            </w:r>
            <w:proofErr w:type="spellStart"/>
            <w:r>
              <w:t>celui</w:t>
            </w:r>
            <w:proofErr w:type="spellEnd"/>
            <w:r>
              <w:t xml:space="preserve">-ci sera </w:t>
            </w:r>
            <w:proofErr w:type="spellStart"/>
            <w:r>
              <w:t>modifié</w:t>
            </w:r>
            <w:proofErr w:type="spellEnd"/>
            <w:r>
              <w:t xml:space="preserve"> pour </w:t>
            </w:r>
            <w:proofErr w:type="spellStart"/>
            <w:r>
              <w:t>intégrer</w:t>
            </w:r>
            <w:proofErr w:type="spellEnd"/>
            <w:r>
              <w:t xml:space="preserve"> deux</w:t>
            </w:r>
            <w:r w:rsidR="00615E40">
              <w:t xml:space="preserve"> </w:t>
            </w:r>
            <w:proofErr w:type="spellStart"/>
            <w:proofErr w:type="gramStart"/>
            <w:r w:rsidR="00615E40">
              <w:t>composantes</w:t>
            </w:r>
            <w:proofErr w:type="spellEnd"/>
            <w:r w:rsidR="00615E40">
              <w:t> :</w:t>
            </w:r>
            <w:proofErr w:type="gramEnd"/>
            <w:r w:rsidR="00615E40">
              <w:t xml:space="preserve"> </w:t>
            </w:r>
          </w:p>
          <w:p w14:paraId="7E16341B" w14:textId="77777777" w:rsidR="00C56F6B" w:rsidRDefault="00615E40" w:rsidP="00750CA9">
            <w:pPr>
              <w:pStyle w:val="liste1"/>
            </w:pPr>
            <w:r w:rsidRPr="003A6304">
              <w:t>Le volet D</w:t>
            </w:r>
            <w:r>
              <w:t xml:space="preserve">roits </w:t>
            </w:r>
            <w:r w:rsidRPr="003A6304">
              <w:t>H</w:t>
            </w:r>
            <w:r>
              <w:t>umains (DH)</w:t>
            </w:r>
            <w:r w:rsidRPr="003A6304">
              <w:t xml:space="preserve"> pour les questions des violences et autres atteintes aux DH en direction des P</w:t>
            </w:r>
            <w:r>
              <w:t>ersonnes Vivants avec le VIH (P</w:t>
            </w:r>
            <w:r w:rsidRPr="003A6304">
              <w:t>VVIH</w:t>
            </w:r>
            <w:r>
              <w:t>),</w:t>
            </w:r>
            <w:r w:rsidRPr="003A6304">
              <w:t xml:space="preserve"> des populations clés</w:t>
            </w:r>
            <w:r>
              <w:t xml:space="preserve"> ; </w:t>
            </w:r>
          </w:p>
          <w:p w14:paraId="0C8F8A01" w14:textId="70581478" w:rsidR="00615E40" w:rsidRDefault="00615E40" w:rsidP="00750CA9">
            <w:pPr>
              <w:pStyle w:val="liste1"/>
            </w:pPr>
            <w:r w:rsidRPr="003A6304">
              <w:t xml:space="preserve">Le volet </w:t>
            </w:r>
            <w:r w:rsidR="00C56F6B">
              <w:t>V</w:t>
            </w:r>
            <w:r w:rsidRPr="003A6304">
              <w:t>eille et surveillance Communautaire pour l’accès au traitement</w:t>
            </w:r>
            <w:r>
              <w:t xml:space="preserve">, en termes de suivi des engagements de l’Etat, de contrôle citoyen de l’action publique, de redevabilité, de </w:t>
            </w:r>
            <w:r w:rsidRPr="003A6304">
              <w:t>la fonctionnalité des appareils et la gratuité des médicaments</w:t>
            </w:r>
            <w:r>
              <w:t xml:space="preserve">. </w:t>
            </w:r>
          </w:p>
          <w:p w14:paraId="79AE0BA5" w14:textId="1AC8A025" w:rsidR="00615E40" w:rsidRDefault="00615E40" w:rsidP="00750CA9">
            <w:pPr>
              <w:pStyle w:val="Texteformulaire"/>
            </w:pPr>
            <w:r>
              <w:t xml:space="preserve">Les </w:t>
            </w:r>
            <w:r w:rsidR="00DA0B03">
              <w:t xml:space="preserve">interventions qui </w:t>
            </w:r>
            <w:proofErr w:type="spellStart"/>
            <w:r w:rsidR="00DA0B03">
              <w:t>seront</w:t>
            </w:r>
            <w:proofErr w:type="spellEnd"/>
            <w:r w:rsidR="00DA0B03">
              <w:t xml:space="preserve"> mises </w:t>
            </w:r>
            <w:proofErr w:type="spellStart"/>
            <w:r w:rsidR="00DA0B03">
              <w:t>en</w:t>
            </w:r>
            <w:proofErr w:type="spellEnd"/>
            <w:r w:rsidR="00DA0B03">
              <w:t xml:space="preserve"> oeuvre </w:t>
            </w:r>
            <w:proofErr w:type="spellStart"/>
            <w:r>
              <w:t>ont</w:t>
            </w:r>
            <w:proofErr w:type="spellEnd"/>
            <w:r>
              <w:t xml:space="preserve"> pour ambition non </w:t>
            </w:r>
            <w:proofErr w:type="spellStart"/>
            <w:r>
              <w:t>seulement</w:t>
            </w:r>
            <w:proofErr w:type="spellEnd"/>
            <w:r>
              <w:t xml:space="preserve"> de </w:t>
            </w:r>
            <w:proofErr w:type="spellStart"/>
            <w:r>
              <w:t>réduire</w:t>
            </w:r>
            <w:proofErr w:type="spellEnd"/>
            <w:r>
              <w:t xml:space="preserve"> de </w:t>
            </w:r>
            <w:proofErr w:type="spellStart"/>
            <w:r>
              <w:t>façon</w:t>
            </w:r>
            <w:proofErr w:type="spellEnd"/>
            <w:r>
              <w:t xml:space="preserve"> significative le </w:t>
            </w:r>
            <w:proofErr w:type="spellStart"/>
            <w:r>
              <w:t>niveau</w:t>
            </w:r>
            <w:proofErr w:type="spellEnd"/>
            <w:r>
              <w:t xml:space="preserve"> de </w:t>
            </w:r>
            <w:proofErr w:type="spellStart"/>
            <w:r w:rsidR="00C56F6B">
              <w:t>stigmatisation</w:t>
            </w:r>
            <w:proofErr w:type="spellEnd"/>
            <w:r w:rsidR="00C56F6B">
              <w:t xml:space="preserve"> et de</w:t>
            </w:r>
            <w:r>
              <w:t xml:space="preserve"> discrimination </w:t>
            </w:r>
            <w:proofErr w:type="spellStart"/>
            <w:r>
              <w:t>vécu</w:t>
            </w:r>
            <w:proofErr w:type="spellEnd"/>
            <w:r>
              <w:t xml:space="preserve"> par les PVVIH et les populations </w:t>
            </w:r>
            <w:proofErr w:type="spellStart"/>
            <w:r>
              <w:t>clés</w:t>
            </w:r>
            <w:proofErr w:type="spellEnd"/>
            <w:r w:rsidR="00DA0B03">
              <w:t>,</w:t>
            </w:r>
            <w:r>
              <w:t xml:space="preserve"> </w:t>
            </w:r>
            <w:proofErr w:type="spellStart"/>
            <w:r>
              <w:t>mais</w:t>
            </w:r>
            <w:proofErr w:type="spellEnd"/>
            <w:r>
              <w:t xml:space="preserve"> </w:t>
            </w:r>
            <w:proofErr w:type="spellStart"/>
            <w:r>
              <w:t>aussi</w:t>
            </w:r>
            <w:proofErr w:type="spellEnd"/>
            <w:r>
              <w:t xml:space="preserve"> de lever les obstacles qui </w:t>
            </w:r>
            <w:proofErr w:type="spellStart"/>
            <w:r>
              <w:t>entravent</w:t>
            </w:r>
            <w:proofErr w:type="spellEnd"/>
            <w:r>
              <w:t xml:space="preserve"> </w:t>
            </w:r>
            <w:proofErr w:type="spellStart"/>
            <w:r>
              <w:t>l’accès</w:t>
            </w:r>
            <w:proofErr w:type="spellEnd"/>
            <w:r>
              <w:t xml:space="preserve"> aux services de </w:t>
            </w:r>
            <w:proofErr w:type="spellStart"/>
            <w:r>
              <w:t>prévention</w:t>
            </w:r>
            <w:proofErr w:type="spellEnd"/>
            <w:r>
              <w:t xml:space="preserve"> et de </w:t>
            </w:r>
            <w:proofErr w:type="spellStart"/>
            <w:r>
              <w:t>prise</w:t>
            </w:r>
            <w:proofErr w:type="spellEnd"/>
            <w:r>
              <w:t xml:space="preserve"> </w:t>
            </w:r>
            <w:proofErr w:type="spellStart"/>
            <w:r>
              <w:t>en</w:t>
            </w:r>
            <w:proofErr w:type="spellEnd"/>
            <w:r>
              <w:t xml:space="preserve"> charge.</w:t>
            </w:r>
          </w:p>
          <w:p w14:paraId="09464278" w14:textId="513E0766" w:rsidR="00651EBA" w:rsidRDefault="00615E40" w:rsidP="00FE1CAA">
            <w:pPr>
              <w:pStyle w:val="Texteformulaire"/>
            </w:pPr>
            <w:r>
              <w:t xml:space="preserve">Le budget global </w:t>
            </w:r>
            <w:proofErr w:type="spellStart"/>
            <w:r w:rsidR="00C56F6B">
              <w:t>relatif</w:t>
            </w:r>
            <w:proofErr w:type="spellEnd"/>
            <w:r w:rsidR="00C56F6B">
              <w:t xml:space="preserve"> aux interventions de</w:t>
            </w:r>
            <w:r w:rsidR="00FE1CAA">
              <w:t xml:space="preserve"> “</w:t>
            </w:r>
            <w:proofErr w:type="spellStart"/>
            <w:r w:rsidR="00C56F6B" w:rsidRPr="00750CA9">
              <w:rPr>
                <w:b/>
                <w:bCs/>
              </w:rPr>
              <w:t>Réduction</w:t>
            </w:r>
            <w:proofErr w:type="spellEnd"/>
            <w:r w:rsidR="00C56F6B" w:rsidRPr="00750CA9">
              <w:rPr>
                <w:b/>
                <w:bCs/>
              </w:rPr>
              <w:t xml:space="preserve"> des obstacles </w:t>
            </w:r>
            <w:proofErr w:type="spellStart"/>
            <w:r w:rsidR="00C56F6B" w:rsidRPr="00750CA9">
              <w:rPr>
                <w:b/>
                <w:bCs/>
              </w:rPr>
              <w:t>liés</w:t>
            </w:r>
            <w:proofErr w:type="spellEnd"/>
            <w:r w:rsidR="00C56F6B" w:rsidRPr="00750CA9">
              <w:rPr>
                <w:b/>
                <w:bCs/>
              </w:rPr>
              <w:t xml:space="preserve"> aux </w:t>
            </w:r>
            <w:r w:rsidRPr="00750CA9">
              <w:rPr>
                <w:b/>
                <w:bCs/>
              </w:rPr>
              <w:t xml:space="preserve">droits </w:t>
            </w:r>
            <w:proofErr w:type="spellStart"/>
            <w:r w:rsidRPr="00750CA9">
              <w:rPr>
                <w:b/>
                <w:bCs/>
              </w:rPr>
              <w:t>humains</w:t>
            </w:r>
            <w:proofErr w:type="spellEnd"/>
            <w:r w:rsidR="00C56F6B">
              <w:rPr>
                <w:b/>
                <w:bCs/>
              </w:rPr>
              <w:t xml:space="preserve"> qui </w:t>
            </w:r>
            <w:proofErr w:type="spellStart"/>
            <w:r w:rsidR="00C56F6B">
              <w:rPr>
                <w:b/>
                <w:bCs/>
              </w:rPr>
              <w:t>entravent</w:t>
            </w:r>
            <w:proofErr w:type="spellEnd"/>
            <w:r w:rsidR="00C56F6B">
              <w:rPr>
                <w:b/>
                <w:bCs/>
              </w:rPr>
              <w:t xml:space="preserve"> </w:t>
            </w:r>
            <w:r w:rsidR="00C56F6B" w:rsidRPr="00D12C1B">
              <w:rPr>
                <w:b/>
                <w:lang w:val="fr-FR"/>
              </w:rPr>
              <w:t>l’accès aux services de lutte contre le VIH/la tuberculose</w:t>
            </w:r>
            <w:r w:rsidR="00FE1CAA">
              <w:rPr>
                <w:b/>
                <w:lang w:val="fr-FR"/>
              </w:rPr>
              <w:t> »</w:t>
            </w:r>
            <w:r>
              <w:t xml:space="preserve"> </w:t>
            </w:r>
            <w:r w:rsidR="00C56F6B">
              <w:t xml:space="preserve">figurant dans les </w:t>
            </w:r>
            <w:proofErr w:type="spellStart"/>
            <w:r w:rsidR="00C56F6B">
              <w:t>demandes</w:t>
            </w:r>
            <w:proofErr w:type="spellEnd"/>
            <w:r w:rsidR="00C56F6B">
              <w:t xml:space="preserve"> de </w:t>
            </w:r>
            <w:proofErr w:type="spellStart"/>
            <w:r w:rsidR="00C56F6B">
              <w:t>financement</w:t>
            </w:r>
            <w:proofErr w:type="spellEnd"/>
            <w:r w:rsidR="00C56F6B">
              <w:t xml:space="preserve"> VIH et TB </w:t>
            </w:r>
            <w:r w:rsidR="00FE1CAA">
              <w:t xml:space="preserve">pour le NFM3 </w:t>
            </w:r>
            <w:proofErr w:type="spellStart"/>
            <w:r>
              <w:t>s’élève</w:t>
            </w:r>
            <w:proofErr w:type="spellEnd"/>
            <w:r>
              <w:t xml:space="preserve"> à </w:t>
            </w:r>
            <w:r w:rsidR="00DA0B03" w:rsidRPr="00572DAE">
              <w:rPr>
                <w:color w:val="FF0000"/>
              </w:rPr>
              <w:t>5</w:t>
            </w:r>
            <w:r w:rsidR="00651EBA" w:rsidRPr="00572DAE">
              <w:rPr>
                <w:color w:val="FF0000"/>
              </w:rPr>
              <w:t xml:space="preserve"> </w:t>
            </w:r>
            <w:r w:rsidR="00DA0B03" w:rsidRPr="00572DAE">
              <w:rPr>
                <w:color w:val="FF0000"/>
              </w:rPr>
              <w:t>1</w:t>
            </w:r>
            <w:r w:rsidR="000061AA" w:rsidRPr="00572DAE">
              <w:rPr>
                <w:color w:val="FF0000"/>
              </w:rPr>
              <w:t>05</w:t>
            </w:r>
            <w:r w:rsidR="00651EBA" w:rsidRPr="00572DAE">
              <w:rPr>
                <w:color w:val="FF0000"/>
              </w:rPr>
              <w:t> </w:t>
            </w:r>
            <w:r w:rsidR="00DA0B03" w:rsidRPr="00572DAE">
              <w:rPr>
                <w:color w:val="FF0000"/>
              </w:rPr>
              <w:t>4</w:t>
            </w:r>
            <w:r w:rsidR="000061AA" w:rsidRPr="00572DAE">
              <w:rPr>
                <w:color w:val="FF0000"/>
              </w:rPr>
              <w:t>95</w:t>
            </w:r>
            <w:r w:rsidR="00651EBA" w:rsidRPr="00572DAE">
              <w:rPr>
                <w:color w:val="FF0000"/>
              </w:rPr>
              <w:t xml:space="preserve"> </w:t>
            </w:r>
            <w:r w:rsidRPr="00572DAE">
              <w:rPr>
                <w:color w:val="FF0000"/>
              </w:rPr>
              <w:t xml:space="preserve">euros </w:t>
            </w:r>
            <w:r w:rsidR="00FE1CAA" w:rsidRPr="00572DAE">
              <w:rPr>
                <w:color w:val="FF0000"/>
              </w:rPr>
              <w:t>(</w:t>
            </w:r>
            <w:proofErr w:type="spellStart"/>
            <w:r w:rsidR="00FE1CAA" w:rsidRPr="00572DAE">
              <w:rPr>
                <w:color w:val="FF0000"/>
              </w:rPr>
              <w:t>dont</w:t>
            </w:r>
            <w:proofErr w:type="spellEnd"/>
            <w:r w:rsidRPr="00572DAE">
              <w:rPr>
                <w:color w:val="FF0000"/>
              </w:rPr>
              <w:t xml:space="preserve"> </w:t>
            </w:r>
            <w:r w:rsidR="00DA0B03" w:rsidRPr="00572DAE">
              <w:rPr>
                <w:color w:val="FF0000"/>
              </w:rPr>
              <w:t xml:space="preserve">4 </w:t>
            </w:r>
            <w:r w:rsidR="000061AA" w:rsidRPr="00572DAE">
              <w:rPr>
                <w:color w:val="FF0000"/>
              </w:rPr>
              <w:t>855</w:t>
            </w:r>
            <w:r w:rsidR="00DA0B03" w:rsidRPr="00572DAE">
              <w:rPr>
                <w:color w:val="FF0000"/>
              </w:rPr>
              <w:t> 4</w:t>
            </w:r>
            <w:r w:rsidR="000061AA" w:rsidRPr="00572DAE">
              <w:rPr>
                <w:color w:val="FF0000"/>
              </w:rPr>
              <w:t>95</w:t>
            </w:r>
            <w:r w:rsidR="00DA0B03" w:rsidRPr="00572DAE">
              <w:rPr>
                <w:color w:val="FF0000"/>
              </w:rPr>
              <w:t xml:space="preserve"> </w:t>
            </w:r>
            <w:r w:rsidRPr="00572DAE">
              <w:rPr>
                <w:color w:val="FF0000"/>
              </w:rPr>
              <w:t xml:space="preserve">euros pour la </w:t>
            </w:r>
            <w:proofErr w:type="spellStart"/>
            <w:r w:rsidR="00FE1CAA" w:rsidRPr="00572DAE">
              <w:rPr>
                <w:color w:val="FF0000"/>
              </w:rPr>
              <w:t>requête</w:t>
            </w:r>
            <w:proofErr w:type="spellEnd"/>
            <w:r w:rsidRPr="00572DAE">
              <w:rPr>
                <w:color w:val="FF0000"/>
              </w:rPr>
              <w:t xml:space="preserve"> VIH et 250 000 euros pour la </w:t>
            </w:r>
            <w:proofErr w:type="spellStart"/>
            <w:r w:rsidR="00FE1CAA" w:rsidRPr="00572DAE">
              <w:rPr>
                <w:color w:val="FF0000"/>
              </w:rPr>
              <w:t>requête</w:t>
            </w:r>
            <w:proofErr w:type="spellEnd"/>
            <w:r w:rsidRPr="00572DAE">
              <w:rPr>
                <w:color w:val="FF0000"/>
              </w:rPr>
              <w:t xml:space="preserve"> TB</w:t>
            </w:r>
            <w:r w:rsidR="00FE1CAA" w:rsidRPr="00572DAE">
              <w:rPr>
                <w:color w:val="FF0000"/>
              </w:rPr>
              <w:t>)</w:t>
            </w:r>
            <w:r>
              <w:t xml:space="preserve">. </w:t>
            </w:r>
          </w:p>
          <w:p w14:paraId="3014ECDE" w14:textId="6FB6EB90" w:rsidR="007232DB" w:rsidRPr="00750CA9" w:rsidRDefault="00615E40" w:rsidP="00750CA9">
            <w:pPr>
              <w:pStyle w:val="Texteformulaire"/>
            </w:pPr>
            <w:r>
              <w:t xml:space="preserve">La </w:t>
            </w:r>
            <w:proofErr w:type="spellStart"/>
            <w:r>
              <w:t>répartition</w:t>
            </w:r>
            <w:proofErr w:type="spellEnd"/>
            <w:r>
              <w:t xml:space="preserve"> par intervention </w:t>
            </w:r>
            <w:proofErr w:type="spellStart"/>
            <w:r>
              <w:t>est</w:t>
            </w:r>
            <w:proofErr w:type="spellEnd"/>
            <w:r>
              <w:t xml:space="preserve"> la </w:t>
            </w:r>
            <w:proofErr w:type="spellStart"/>
            <w:r>
              <w:t>suivante</w:t>
            </w:r>
            <w:proofErr w:type="spellEnd"/>
            <w:r>
              <w:t>:</w:t>
            </w:r>
          </w:p>
          <w:tbl>
            <w:tblPr>
              <w:tblStyle w:val="TableGrid"/>
              <w:tblW w:w="10230" w:type="dxa"/>
              <w:tblLook w:val="04A0" w:firstRow="1" w:lastRow="0" w:firstColumn="1" w:lastColumn="0" w:noHBand="0" w:noVBand="1"/>
            </w:tblPr>
            <w:tblGrid>
              <w:gridCol w:w="5024"/>
              <w:gridCol w:w="1240"/>
              <w:gridCol w:w="1266"/>
              <w:gridCol w:w="1230"/>
              <w:gridCol w:w="1470"/>
            </w:tblGrid>
            <w:tr w:rsidR="00DA0B03" w:rsidRPr="00DA0B03" w14:paraId="1480B9BB" w14:textId="77777777" w:rsidTr="00DA0B03">
              <w:tc>
                <w:tcPr>
                  <w:tcW w:w="5024" w:type="dxa"/>
                  <w:vAlign w:val="center"/>
                </w:tcPr>
                <w:p w14:paraId="49C25CCD" w14:textId="77777777" w:rsidR="001F146B" w:rsidRPr="00572DAE" w:rsidRDefault="001F146B" w:rsidP="00DA0B03">
                  <w:pPr>
                    <w:spacing w:before="60" w:after="60"/>
                    <w:rPr>
                      <w:b/>
                      <w:bCs/>
                      <w:color w:val="FF0000"/>
                    </w:rPr>
                  </w:pPr>
                  <w:r w:rsidRPr="00572DAE">
                    <w:rPr>
                      <w:b/>
                      <w:bCs/>
                      <w:color w:val="FF0000"/>
                    </w:rPr>
                    <w:t>Interventions droits humains</w:t>
                  </w:r>
                </w:p>
              </w:tc>
              <w:tc>
                <w:tcPr>
                  <w:tcW w:w="1240" w:type="dxa"/>
                  <w:vAlign w:val="center"/>
                </w:tcPr>
                <w:p w14:paraId="406F00B6" w14:textId="586D71D5" w:rsidR="001F146B" w:rsidRPr="00572DAE" w:rsidRDefault="001F146B" w:rsidP="00DA0B03">
                  <w:pPr>
                    <w:spacing w:before="60" w:after="60"/>
                    <w:rPr>
                      <w:b/>
                      <w:bCs/>
                      <w:color w:val="FF0000"/>
                    </w:rPr>
                  </w:pPr>
                  <w:r w:rsidRPr="00572DAE">
                    <w:rPr>
                      <w:b/>
                      <w:bCs/>
                      <w:color w:val="FF0000"/>
                    </w:rPr>
                    <w:t xml:space="preserve">Allocation </w:t>
                  </w:r>
                  <w:r w:rsidR="00DA0B03" w:rsidRPr="00572DAE">
                    <w:rPr>
                      <w:b/>
                      <w:bCs/>
                      <w:color w:val="FF0000"/>
                    </w:rPr>
                    <w:t>(€)</w:t>
                  </w:r>
                </w:p>
              </w:tc>
              <w:tc>
                <w:tcPr>
                  <w:tcW w:w="1266" w:type="dxa"/>
                  <w:vAlign w:val="center"/>
                </w:tcPr>
                <w:p w14:paraId="446089AE" w14:textId="098C00BA" w:rsidR="001F146B" w:rsidRPr="00572DAE" w:rsidRDefault="00DA0B03" w:rsidP="00DA0B03">
                  <w:pPr>
                    <w:spacing w:before="60" w:after="60"/>
                    <w:rPr>
                      <w:b/>
                      <w:bCs/>
                      <w:color w:val="FF0000"/>
                    </w:rPr>
                  </w:pPr>
                  <w:r w:rsidRPr="00572DAE">
                    <w:rPr>
                      <w:b/>
                      <w:bCs/>
                      <w:color w:val="FF0000"/>
                    </w:rPr>
                    <w:t>Matching Funds</w:t>
                  </w:r>
                  <w:r w:rsidR="001F146B" w:rsidRPr="00572DAE">
                    <w:rPr>
                      <w:b/>
                      <w:bCs/>
                      <w:color w:val="FF0000"/>
                    </w:rPr>
                    <w:t xml:space="preserve"> </w:t>
                  </w:r>
                  <w:r w:rsidRPr="00572DAE">
                    <w:rPr>
                      <w:b/>
                      <w:bCs/>
                      <w:color w:val="FF0000"/>
                    </w:rPr>
                    <w:t>(€)</w:t>
                  </w:r>
                </w:p>
              </w:tc>
              <w:tc>
                <w:tcPr>
                  <w:tcW w:w="1230" w:type="dxa"/>
                  <w:vAlign w:val="center"/>
                </w:tcPr>
                <w:p w14:paraId="7D7B1098" w14:textId="5952BF6E" w:rsidR="001F146B" w:rsidRPr="00572DAE" w:rsidRDefault="001F146B" w:rsidP="00DA0B03">
                  <w:pPr>
                    <w:spacing w:before="60" w:after="60"/>
                    <w:rPr>
                      <w:b/>
                      <w:bCs/>
                      <w:color w:val="FF0000"/>
                    </w:rPr>
                  </w:pPr>
                  <w:r w:rsidRPr="00572DAE">
                    <w:rPr>
                      <w:b/>
                      <w:bCs/>
                      <w:color w:val="FF0000"/>
                    </w:rPr>
                    <w:t xml:space="preserve">TB </w:t>
                  </w:r>
                  <w:r w:rsidR="00DA0B03" w:rsidRPr="00572DAE">
                    <w:rPr>
                      <w:b/>
                      <w:bCs/>
                      <w:color w:val="FF0000"/>
                    </w:rPr>
                    <w:t>(€)</w:t>
                  </w:r>
                </w:p>
              </w:tc>
              <w:tc>
                <w:tcPr>
                  <w:tcW w:w="1470" w:type="dxa"/>
                  <w:vAlign w:val="center"/>
                </w:tcPr>
                <w:p w14:paraId="7538862F" w14:textId="113B3F05" w:rsidR="001F146B" w:rsidRPr="00572DAE" w:rsidRDefault="00DA0B03" w:rsidP="00DA0B03">
                  <w:pPr>
                    <w:spacing w:before="60" w:after="60"/>
                    <w:rPr>
                      <w:b/>
                      <w:bCs/>
                      <w:color w:val="FF0000"/>
                    </w:rPr>
                  </w:pPr>
                  <w:r w:rsidRPr="00572DAE">
                    <w:rPr>
                      <w:b/>
                      <w:bCs/>
                      <w:color w:val="FF0000"/>
                    </w:rPr>
                    <w:t>G</w:t>
                  </w:r>
                  <w:r w:rsidR="001F146B" w:rsidRPr="00572DAE">
                    <w:rPr>
                      <w:b/>
                      <w:bCs/>
                      <w:color w:val="FF0000"/>
                    </w:rPr>
                    <w:t xml:space="preserve">lobal </w:t>
                  </w:r>
                  <w:r w:rsidRPr="00572DAE">
                    <w:rPr>
                      <w:b/>
                      <w:bCs/>
                      <w:color w:val="FF0000"/>
                    </w:rPr>
                    <w:t>(€)</w:t>
                  </w:r>
                </w:p>
              </w:tc>
            </w:tr>
            <w:tr w:rsidR="00DA0B03" w:rsidRPr="00DA0B03" w14:paraId="0EE0088C" w14:textId="77777777" w:rsidTr="00DA0B03">
              <w:tc>
                <w:tcPr>
                  <w:tcW w:w="5024" w:type="dxa"/>
                  <w:vAlign w:val="center"/>
                </w:tcPr>
                <w:p w14:paraId="2961E9C4" w14:textId="7E57BD77" w:rsidR="001F146B" w:rsidRPr="00572DAE" w:rsidRDefault="001F146B" w:rsidP="00DA0B03">
                  <w:pPr>
                    <w:spacing w:before="60" w:after="60"/>
                    <w:rPr>
                      <w:color w:val="FF0000"/>
                    </w:rPr>
                  </w:pPr>
                  <w:r w:rsidRPr="00572DAE">
                    <w:rPr>
                      <w:color w:val="FF0000"/>
                    </w:rPr>
                    <w:t>Amélioration des lois, des règlements et des politiques liés au VIH et à la co-infection VIH/tuberculose</w:t>
                  </w:r>
                </w:p>
              </w:tc>
              <w:tc>
                <w:tcPr>
                  <w:tcW w:w="1240" w:type="dxa"/>
                  <w:vAlign w:val="center"/>
                </w:tcPr>
                <w:p w14:paraId="2C51CBD6" w14:textId="5204264F" w:rsidR="001F146B" w:rsidRPr="00572DAE" w:rsidRDefault="000061AA" w:rsidP="00DA0B03">
                  <w:pPr>
                    <w:spacing w:before="60" w:after="60"/>
                    <w:jc w:val="right"/>
                    <w:rPr>
                      <w:color w:val="FF0000"/>
                    </w:rPr>
                  </w:pPr>
                  <w:r w:rsidRPr="00572DAE">
                    <w:rPr>
                      <w:color w:val="FF0000"/>
                    </w:rPr>
                    <w:t>686</w:t>
                  </w:r>
                </w:p>
              </w:tc>
              <w:tc>
                <w:tcPr>
                  <w:tcW w:w="1266" w:type="dxa"/>
                  <w:shd w:val="clear" w:color="auto" w:fill="auto"/>
                  <w:vAlign w:val="center"/>
                </w:tcPr>
                <w:p w14:paraId="6C935FE8" w14:textId="12A1E1A9" w:rsidR="001F146B" w:rsidRPr="00572DAE" w:rsidRDefault="0044115C" w:rsidP="00DA0B03">
                  <w:pPr>
                    <w:spacing w:before="60" w:after="60"/>
                    <w:jc w:val="right"/>
                    <w:rPr>
                      <w:color w:val="FF0000"/>
                    </w:rPr>
                  </w:pPr>
                  <w:r w:rsidRPr="00572DAE">
                    <w:rPr>
                      <w:color w:val="FF0000"/>
                    </w:rPr>
                    <w:t xml:space="preserve">103 </w:t>
                  </w:r>
                  <w:r w:rsidR="00661CE1" w:rsidRPr="00572DAE">
                    <w:rPr>
                      <w:color w:val="FF0000"/>
                    </w:rPr>
                    <w:t>075</w:t>
                  </w:r>
                </w:p>
              </w:tc>
              <w:tc>
                <w:tcPr>
                  <w:tcW w:w="1230" w:type="dxa"/>
                  <w:shd w:val="clear" w:color="auto" w:fill="D9D9D9" w:themeFill="background1" w:themeFillShade="D9"/>
                  <w:vAlign w:val="center"/>
                </w:tcPr>
                <w:p w14:paraId="59059D18" w14:textId="468EBA71" w:rsidR="001F146B" w:rsidRPr="00572DAE" w:rsidRDefault="001F146B" w:rsidP="00DA0B03">
                  <w:pPr>
                    <w:spacing w:before="60" w:after="60"/>
                    <w:jc w:val="right"/>
                    <w:rPr>
                      <w:color w:val="FF0000"/>
                    </w:rPr>
                  </w:pPr>
                </w:p>
              </w:tc>
              <w:tc>
                <w:tcPr>
                  <w:tcW w:w="1470" w:type="dxa"/>
                  <w:vAlign w:val="center"/>
                </w:tcPr>
                <w:p w14:paraId="47687F14" w14:textId="148E0B2F" w:rsidR="001F146B" w:rsidRPr="00572DAE" w:rsidRDefault="008120F6" w:rsidP="00DA0B03">
                  <w:pPr>
                    <w:spacing w:before="60" w:after="60"/>
                    <w:jc w:val="right"/>
                    <w:rPr>
                      <w:color w:val="FF0000"/>
                    </w:rPr>
                  </w:pPr>
                  <w:r w:rsidRPr="00572DAE">
                    <w:rPr>
                      <w:color w:val="FF0000"/>
                    </w:rPr>
                    <w:t xml:space="preserve">103 </w:t>
                  </w:r>
                  <w:r w:rsidR="000061AA" w:rsidRPr="00572DAE">
                    <w:rPr>
                      <w:color w:val="FF0000"/>
                    </w:rPr>
                    <w:t>761</w:t>
                  </w:r>
                </w:p>
              </w:tc>
            </w:tr>
            <w:tr w:rsidR="00DA0B03" w:rsidRPr="00DA0B03" w14:paraId="25DB9B21" w14:textId="77777777" w:rsidTr="00DA0B03">
              <w:tc>
                <w:tcPr>
                  <w:tcW w:w="5024" w:type="dxa"/>
                  <w:vAlign w:val="center"/>
                </w:tcPr>
                <w:p w14:paraId="43B49403" w14:textId="77777777" w:rsidR="001F146B" w:rsidRPr="00572DAE" w:rsidRDefault="001F146B" w:rsidP="00DA0B03">
                  <w:pPr>
                    <w:spacing w:before="60" w:after="60"/>
                    <w:rPr>
                      <w:color w:val="FF0000"/>
                    </w:rPr>
                  </w:pPr>
                  <w:r w:rsidRPr="00572DAE">
                    <w:rPr>
                      <w:color w:val="FF0000"/>
                    </w:rPr>
                    <w:t>Droits humains et éthique médicale liée au VIH et à la co-infection VIH/tuberculose pour les prestataires de soins de santé</w:t>
                  </w:r>
                </w:p>
              </w:tc>
              <w:tc>
                <w:tcPr>
                  <w:tcW w:w="1240" w:type="dxa"/>
                  <w:vAlign w:val="center"/>
                </w:tcPr>
                <w:p w14:paraId="4F3F41C9" w14:textId="5E3C819B" w:rsidR="001F146B" w:rsidRPr="00572DAE" w:rsidRDefault="003A6EE3" w:rsidP="00DA0B03">
                  <w:pPr>
                    <w:spacing w:before="60" w:after="60"/>
                    <w:jc w:val="right"/>
                    <w:rPr>
                      <w:color w:val="FF0000"/>
                    </w:rPr>
                  </w:pPr>
                  <w:r w:rsidRPr="00572DAE">
                    <w:rPr>
                      <w:color w:val="FF0000"/>
                    </w:rPr>
                    <w:t>69</w:t>
                  </w:r>
                  <w:r w:rsidR="00A1596F" w:rsidRPr="00572DAE">
                    <w:rPr>
                      <w:color w:val="FF0000"/>
                    </w:rPr>
                    <w:t xml:space="preserve"> </w:t>
                  </w:r>
                  <w:r w:rsidRPr="00572DAE">
                    <w:rPr>
                      <w:color w:val="FF0000"/>
                    </w:rPr>
                    <w:t>192</w:t>
                  </w:r>
                </w:p>
              </w:tc>
              <w:tc>
                <w:tcPr>
                  <w:tcW w:w="1266" w:type="dxa"/>
                  <w:shd w:val="clear" w:color="auto" w:fill="auto"/>
                  <w:vAlign w:val="center"/>
                </w:tcPr>
                <w:p w14:paraId="002AF4A5" w14:textId="2ED65191" w:rsidR="001F146B" w:rsidRPr="00572DAE" w:rsidRDefault="00A1596F" w:rsidP="00DA0B03">
                  <w:pPr>
                    <w:spacing w:before="60" w:after="60"/>
                    <w:jc w:val="right"/>
                    <w:rPr>
                      <w:color w:val="FF0000"/>
                    </w:rPr>
                  </w:pPr>
                  <w:r w:rsidRPr="00572DAE">
                    <w:rPr>
                      <w:color w:val="FF0000"/>
                    </w:rPr>
                    <w:t>30 986</w:t>
                  </w:r>
                </w:p>
              </w:tc>
              <w:tc>
                <w:tcPr>
                  <w:tcW w:w="1230" w:type="dxa"/>
                  <w:shd w:val="clear" w:color="auto" w:fill="D9D9D9" w:themeFill="background1" w:themeFillShade="D9"/>
                  <w:vAlign w:val="center"/>
                </w:tcPr>
                <w:p w14:paraId="48CBA4FF" w14:textId="6CD345D5" w:rsidR="001F146B" w:rsidRPr="00572DAE" w:rsidRDefault="001F146B" w:rsidP="00DA0B03">
                  <w:pPr>
                    <w:spacing w:before="60" w:after="60"/>
                    <w:jc w:val="right"/>
                    <w:rPr>
                      <w:color w:val="FF0000"/>
                    </w:rPr>
                  </w:pPr>
                </w:p>
              </w:tc>
              <w:tc>
                <w:tcPr>
                  <w:tcW w:w="1470" w:type="dxa"/>
                  <w:vAlign w:val="center"/>
                </w:tcPr>
                <w:p w14:paraId="6BBBFCBC" w14:textId="41B71F94" w:rsidR="001F146B" w:rsidRPr="00572DAE" w:rsidRDefault="00A1596F" w:rsidP="00DA0B03">
                  <w:pPr>
                    <w:spacing w:before="60" w:after="60"/>
                    <w:jc w:val="right"/>
                    <w:rPr>
                      <w:color w:val="FF0000"/>
                    </w:rPr>
                  </w:pPr>
                  <w:r w:rsidRPr="00572DAE">
                    <w:rPr>
                      <w:color w:val="FF0000"/>
                    </w:rPr>
                    <w:t>1</w:t>
                  </w:r>
                  <w:r w:rsidR="003A6EE3" w:rsidRPr="00572DAE">
                    <w:rPr>
                      <w:color w:val="FF0000"/>
                    </w:rPr>
                    <w:t>00</w:t>
                  </w:r>
                  <w:r w:rsidRPr="00572DAE">
                    <w:rPr>
                      <w:color w:val="FF0000"/>
                    </w:rPr>
                    <w:t xml:space="preserve"> 1</w:t>
                  </w:r>
                  <w:r w:rsidR="003A6EE3" w:rsidRPr="00572DAE">
                    <w:rPr>
                      <w:color w:val="FF0000"/>
                    </w:rPr>
                    <w:t>78</w:t>
                  </w:r>
                </w:p>
              </w:tc>
            </w:tr>
            <w:tr w:rsidR="00DA0B03" w:rsidRPr="00DA0B03" w14:paraId="1B3B74F2" w14:textId="77777777" w:rsidTr="00DA0B03">
              <w:trPr>
                <w:trHeight w:val="454"/>
              </w:trPr>
              <w:tc>
                <w:tcPr>
                  <w:tcW w:w="5024" w:type="dxa"/>
                  <w:vAlign w:val="center"/>
                </w:tcPr>
                <w:p w14:paraId="74DB0AF1" w14:textId="77777777" w:rsidR="001F146B" w:rsidRPr="00572DAE" w:rsidRDefault="001F146B" w:rsidP="00DA0B03">
                  <w:pPr>
                    <w:spacing w:before="60" w:after="60"/>
                    <w:rPr>
                      <w:color w:val="FF0000"/>
                    </w:rPr>
                  </w:pPr>
                  <w:r w:rsidRPr="00572DAE">
                    <w:rPr>
                      <w:color w:val="FF0000"/>
                    </w:rPr>
                    <w:t>Éducation juridique (« Connaissez vos droits »)</w:t>
                  </w:r>
                </w:p>
              </w:tc>
              <w:tc>
                <w:tcPr>
                  <w:tcW w:w="1240" w:type="dxa"/>
                  <w:vAlign w:val="center"/>
                </w:tcPr>
                <w:p w14:paraId="2E8770A8" w14:textId="308B51B7" w:rsidR="001F146B" w:rsidRPr="00572DAE" w:rsidRDefault="00A1596F" w:rsidP="00DA0B03">
                  <w:pPr>
                    <w:spacing w:before="60" w:after="60"/>
                    <w:jc w:val="right"/>
                    <w:rPr>
                      <w:color w:val="FF0000"/>
                    </w:rPr>
                  </w:pPr>
                  <w:r w:rsidRPr="00572DAE">
                    <w:rPr>
                      <w:color w:val="FF0000"/>
                    </w:rPr>
                    <w:t>39 328</w:t>
                  </w:r>
                </w:p>
              </w:tc>
              <w:tc>
                <w:tcPr>
                  <w:tcW w:w="1266" w:type="dxa"/>
                  <w:shd w:val="clear" w:color="auto" w:fill="auto"/>
                  <w:vAlign w:val="center"/>
                </w:tcPr>
                <w:p w14:paraId="6714E652" w14:textId="216C83C0" w:rsidR="001F146B" w:rsidRPr="00572DAE" w:rsidRDefault="00A1596F" w:rsidP="00DA0B03">
                  <w:pPr>
                    <w:spacing w:before="60" w:after="60"/>
                    <w:jc w:val="right"/>
                    <w:rPr>
                      <w:color w:val="FF0000"/>
                    </w:rPr>
                  </w:pPr>
                  <w:r w:rsidRPr="00572DAE">
                    <w:rPr>
                      <w:color w:val="FF0000"/>
                    </w:rPr>
                    <w:t>263</w:t>
                  </w:r>
                  <w:r w:rsidR="001F146B" w:rsidRPr="00572DAE">
                    <w:rPr>
                      <w:color w:val="FF0000"/>
                    </w:rPr>
                    <w:t xml:space="preserve"> </w:t>
                  </w:r>
                  <w:r w:rsidR="00867B9B" w:rsidRPr="00572DAE">
                    <w:rPr>
                      <w:color w:val="FF0000"/>
                    </w:rPr>
                    <w:t>437</w:t>
                  </w:r>
                </w:p>
              </w:tc>
              <w:tc>
                <w:tcPr>
                  <w:tcW w:w="1230" w:type="dxa"/>
                  <w:shd w:val="clear" w:color="auto" w:fill="D9D9D9" w:themeFill="background1" w:themeFillShade="D9"/>
                  <w:vAlign w:val="center"/>
                </w:tcPr>
                <w:p w14:paraId="1CF9B680" w14:textId="0AF7FF96" w:rsidR="001F146B" w:rsidRPr="00572DAE" w:rsidRDefault="001F146B" w:rsidP="00DA0B03">
                  <w:pPr>
                    <w:spacing w:before="60" w:after="60"/>
                    <w:jc w:val="right"/>
                    <w:rPr>
                      <w:color w:val="FF0000"/>
                    </w:rPr>
                  </w:pPr>
                </w:p>
              </w:tc>
              <w:tc>
                <w:tcPr>
                  <w:tcW w:w="1470" w:type="dxa"/>
                  <w:vAlign w:val="center"/>
                </w:tcPr>
                <w:p w14:paraId="15E8B383" w14:textId="164EDF9E" w:rsidR="001F146B" w:rsidRPr="00572DAE" w:rsidRDefault="001F146B" w:rsidP="00DA0B03">
                  <w:pPr>
                    <w:spacing w:before="60" w:after="60"/>
                    <w:jc w:val="right"/>
                    <w:rPr>
                      <w:color w:val="FF0000"/>
                    </w:rPr>
                  </w:pPr>
                  <w:r w:rsidRPr="00572DAE">
                    <w:rPr>
                      <w:color w:val="FF0000"/>
                    </w:rPr>
                    <w:t>3</w:t>
                  </w:r>
                  <w:r w:rsidR="00A1596F" w:rsidRPr="00572DAE">
                    <w:rPr>
                      <w:color w:val="FF0000"/>
                    </w:rPr>
                    <w:t>02</w:t>
                  </w:r>
                  <w:r w:rsidRPr="00572DAE">
                    <w:rPr>
                      <w:color w:val="FF0000"/>
                    </w:rPr>
                    <w:t xml:space="preserve"> </w:t>
                  </w:r>
                  <w:r w:rsidR="00661CE1" w:rsidRPr="00572DAE">
                    <w:rPr>
                      <w:color w:val="FF0000"/>
                    </w:rPr>
                    <w:t>765</w:t>
                  </w:r>
                </w:p>
              </w:tc>
            </w:tr>
            <w:tr w:rsidR="00DA0B03" w:rsidRPr="00DA0B03" w14:paraId="0111FC17" w14:textId="77777777" w:rsidTr="00DA0B03">
              <w:tc>
                <w:tcPr>
                  <w:tcW w:w="5024" w:type="dxa"/>
                  <w:vAlign w:val="center"/>
                </w:tcPr>
                <w:p w14:paraId="53021EE9" w14:textId="77777777" w:rsidR="001F146B" w:rsidRPr="00572DAE" w:rsidRDefault="001F146B" w:rsidP="00DA0B03">
                  <w:pPr>
                    <w:spacing w:before="60" w:after="60"/>
                    <w:rPr>
                      <w:color w:val="FF0000"/>
                    </w:rPr>
                  </w:pPr>
                  <w:r w:rsidRPr="00572DAE">
                    <w:rPr>
                      <w:color w:val="FF0000"/>
                    </w:rPr>
                    <w:t>Mobilisation et sensibilisation des communautés</w:t>
                  </w:r>
                </w:p>
              </w:tc>
              <w:tc>
                <w:tcPr>
                  <w:tcW w:w="1240" w:type="dxa"/>
                  <w:vAlign w:val="center"/>
                </w:tcPr>
                <w:p w14:paraId="333E5340" w14:textId="4796E5A9" w:rsidR="001F146B" w:rsidRPr="00572DAE" w:rsidRDefault="00A1596F" w:rsidP="00DA0B03">
                  <w:pPr>
                    <w:spacing w:before="60" w:after="60"/>
                    <w:jc w:val="right"/>
                    <w:rPr>
                      <w:color w:val="FF0000"/>
                    </w:rPr>
                  </w:pPr>
                  <w:r w:rsidRPr="00572DAE">
                    <w:rPr>
                      <w:color w:val="FF0000"/>
                    </w:rPr>
                    <w:t xml:space="preserve">949 </w:t>
                  </w:r>
                  <w:r w:rsidR="006F0263" w:rsidRPr="00572DAE">
                    <w:rPr>
                      <w:color w:val="FF0000"/>
                    </w:rPr>
                    <w:t>599</w:t>
                  </w:r>
                </w:p>
              </w:tc>
              <w:tc>
                <w:tcPr>
                  <w:tcW w:w="1266" w:type="dxa"/>
                  <w:shd w:val="clear" w:color="auto" w:fill="auto"/>
                  <w:vAlign w:val="center"/>
                </w:tcPr>
                <w:p w14:paraId="2B072597" w14:textId="23AF2200" w:rsidR="001F146B" w:rsidRPr="00572DAE" w:rsidRDefault="006F0263" w:rsidP="00DA0B03">
                  <w:pPr>
                    <w:spacing w:before="60" w:after="60"/>
                    <w:jc w:val="right"/>
                    <w:rPr>
                      <w:color w:val="FF0000"/>
                    </w:rPr>
                  </w:pPr>
                  <w:r w:rsidRPr="00572DAE">
                    <w:rPr>
                      <w:color w:val="FF0000"/>
                    </w:rPr>
                    <w:t>271 535</w:t>
                  </w:r>
                </w:p>
              </w:tc>
              <w:tc>
                <w:tcPr>
                  <w:tcW w:w="1230" w:type="dxa"/>
                  <w:shd w:val="clear" w:color="auto" w:fill="D9D9D9" w:themeFill="background1" w:themeFillShade="D9"/>
                  <w:vAlign w:val="center"/>
                </w:tcPr>
                <w:p w14:paraId="790C9E15" w14:textId="27D4D549" w:rsidR="001F146B" w:rsidRPr="00572DAE" w:rsidRDefault="001F146B" w:rsidP="00DA0B03">
                  <w:pPr>
                    <w:spacing w:before="60" w:after="60"/>
                    <w:jc w:val="right"/>
                    <w:rPr>
                      <w:color w:val="FF0000"/>
                    </w:rPr>
                  </w:pPr>
                </w:p>
              </w:tc>
              <w:tc>
                <w:tcPr>
                  <w:tcW w:w="1470" w:type="dxa"/>
                  <w:vAlign w:val="center"/>
                </w:tcPr>
                <w:p w14:paraId="0F2B0957" w14:textId="4B83C7A3" w:rsidR="001F146B" w:rsidRPr="00572DAE" w:rsidRDefault="006F0263" w:rsidP="00DA0B03">
                  <w:pPr>
                    <w:spacing w:before="60" w:after="60"/>
                    <w:jc w:val="right"/>
                    <w:rPr>
                      <w:color w:val="FF0000"/>
                    </w:rPr>
                  </w:pPr>
                  <w:r w:rsidRPr="00572DAE">
                    <w:rPr>
                      <w:color w:val="FF0000"/>
                    </w:rPr>
                    <w:t>1 221 133</w:t>
                  </w:r>
                </w:p>
              </w:tc>
            </w:tr>
            <w:tr w:rsidR="00DA0B03" w:rsidRPr="00DA0B03" w14:paraId="531A5415" w14:textId="77777777" w:rsidTr="00DA0B03">
              <w:tc>
                <w:tcPr>
                  <w:tcW w:w="5024" w:type="dxa"/>
                  <w:vAlign w:val="center"/>
                </w:tcPr>
                <w:p w14:paraId="2A00BBA6" w14:textId="77777777" w:rsidR="001F146B" w:rsidRPr="00572DAE" w:rsidRDefault="001F146B" w:rsidP="00DA0B03">
                  <w:pPr>
                    <w:spacing w:before="60" w:after="60"/>
                    <w:rPr>
                      <w:color w:val="FF0000"/>
                    </w:rPr>
                  </w:pPr>
                  <w:r w:rsidRPr="00572DAE">
                    <w:rPr>
                      <w:color w:val="FF0000"/>
                    </w:rPr>
                    <w:t>Réduction de la discrimination fondée sur le genre, des normes de genre nocives et de la violence contre les femmes et les filles dans toute leur diversité, en lien avec le VIH</w:t>
                  </w:r>
                </w:p>
              </w:tc>
              <w:tc>
                <w:tcPr>
                  <w:tcW w:w="1240" w:type="dxa"/>
                  <w:vAlign w:val="center"/>
                </w:tcPr>
                <w:p w14:paraId="792B991B" w14:textId="12EBA704" w:rsidR="001F146B" w:rsidRPr="00572DAE" w:rsidRDefault="003A6EE3" w:rsidP="00DA0B03">
                  <w:pPr>
                    <w:spacing w:before="60" w:after="60"/>
                    <w:jc w:val="right"/>
                    <w:rPr>
                      <w:color w:val="FF0000"/>
                    </w:rPr>
                  </w:pPr>
                  <w:r w:rsidRPr="00572DAE">
                    <w:rPr>
                      <w:color w:val="FF0000"/>
                    </w:rPr>
                    <w:t>377 556</w:t>
                  </w:r>
                </w:p>
              </w:tc>
              <w:tc>
                <w:tcPr>
                  <w:tcW w:w="1266" w:type="dxa"/>
                  <w:vAlign w:val="center"/>
                </w:tcPr>
                <w:p w14:paraId="63EEAA86" w14:textId="630ECB64" w:rsidR="001F146B" w:rsidRPr="00572DAE" w:rsidRDefault="001F146B" w:rsidP="00DA0B03">
                  <w:pPr>
                    <w:spacing w:before="60" w:after="60"/>
                    <w:jc w:val="right"/>
                    <w:rPr>
                      <w:color w:val="FF0000"/>
                    </w:rPr>
                  </w:pPr>
                  <w:r w:rsidRPr="00572DAE">
                    <w:rPr>
                      <w:color w:val="FF0000"/>
                    </w:rPr>
                    <w:t>3</w:t>
                  </w:r>
                  <w:r w:rsidR="006F0263" w:rsidRPr="00572DAE">
                    <w:rPr>
                      <w:color w:val="FF0000"/>
                    </w:rPr>
                    <w:t>33</w:t>
                  </w:r>
                  <w:r w:rsidRPr="00572DAE">
                    <w:rPr>
                      <w:color w:val="FF0000"/>
                    </w:rPr>
                    <w:t xml:space="preserve"> </w:t>
                  </w:r>
                  <w:r w:rsidR="006F0263" w:rsidRPr="00572DAE">
                    <w:rPr>
                      <w:color w:val="FF0000"/>
                    </w:rPr>
                    <w:t>863</w:t>
                  </w:r>
                </w:p>
              </w:tc>
              <w:tc>
                <w:tcPr>
                  <w:tcW w:w="1230" w:type="dxa"/>
                  <w:vAlign w:val="center"/>
                </w:tcPr>
                <w:p w14:paraId="189DA94B" w14:textId="4C39E40D" w:rsidR="001F146B" w:rsidRPr="00572DAE" w:rsidRDefault="001F146B" w:rsidP="00DA0B03">
                  <w:pPr>
                    <w:spacing w:before="60" w:after="60"/>
                    <w:jc w:val="right"/>
                    <w:rPr>
                      <w:color w:val="FF0000"/>
                    </w:rPr>
                  </w:pPr>
                  <w:r w:rsidRPr="00572DAE">
                    <w:rPr>
                      <w:color w:val="FF0000"/>
                    </w:rPr>
                    <w:t>250 000</w:t>
                  </w:r>
                </w:p>
              </w:tc>
              <w:tc>
                <w:tcPr>
                  <w:tcW w:w="1470" w:type="dxa"/>
                  <w:vAlign w:val="center"/>
                </w:tcPr>
                <w:p w14:paraId="73746381" w14:textId="779D2A51" w:rsidR="001F146B" w:rsidRPr="00572DAE" w:rsidRDefault="00867B9B" w:rsidP="00DA0B03">
                  <w:pPr>
                    <w:spacing w:before="60" w:after="60"/>
                    <w:jc w:val="right"/>
                    <w:rPr>
                      <w:color w:val="FF0000"/>
                    </w:rPr>
                  </w:pPr>
                  <w:r w:rsidRPr="00572DAE">
                    <w:rPr>
                      <w:color w:val="FF0000"/>
                    </w:rPr>
                    <w:t>961</w:t>
                  </w:r>
                  <w:r w:rsidR="001F146B" w:rsidRPr="00572DAE">
                    <w:rPr>
                      <w:color w:val="FF0000"/>
                    </w:rPr>
                    <w:t xml:space="preserve"> </w:t>
                  </w:r>
                  <w:r w:rsidR="006F0263" w:rsidRPr="00572DAE">
                    <w:rPr>
                      <w:color w:val="FF0000"/>
                    </w:rPr>
                    <w:t>4</w:t>
                  </w:r>
                  <w:r w:rsidR="003A6EE3" w:rsidRPr="00572DAE">
                    <w:rPr>
                      <w:color w:val="FF0000"/>
                    </w:rPr>
                    <w:t>20</w:t>
                  </w:r>
                </w:p>
              </w:tc>
            </w:tr>
            <w:tr w:rsidR="00DA0B03" w:rsidRPr="00DA0B03" w14:paraId="5FCB50D3" w14:textId="77777777" w:rsidTr="00DA0B03">
              <w:tc>
                <w:tcPr>
                  <w:tcW w:w="5024" w:type="dxa"/>
                  <w:vAlign w:val="center"/>
                </w:tcPr>
                <w:p w14:paraId="34188C29" w14:textId="77777777" w:rsidR="001F146B" w:rsidRPr="00572DAE" w:rsidRDefault="001F146B" w:rsidP="00DA0B03">
                  <w:pPr>
                    <w:spacing w:before="60" w:after="60"/>
                    <w:rPr>
                      <w:color w:val="FF0000"/>
                    </w:rPr>
                  </w:pPr>
                  <w:r w:rsidRPr="00572DAE">
                    <w:rPr>
                      <w:color w:val="FF0000"/>
                    </w:rPr>
                    <w:lastRenderedPageBreak/>
                    <w:t>Réduction du rejet social et de la discrimination</w:t>
                  </w:r>
                </w:p>
              </w:tc>
              <w:tc>
                <w:tcPr>
                  <w:tcW w:w="1240" w:type="dxa"/>
                  <w:vAlign w:val="center"/>
                </w:tcPr>
                <w:p w14:paraId="3C935969" w14:textId="61631D93" w:rsidR="001F146B" w:rsidRPr="00572DAE" w:rsidRDefault="006F0263" w:rsidP="00DA0B03">
                  <w:pPr>
                    <w:spacing w:before="60" w:after="60"/>
                    <w:jc w:val="right"/>
                    <w:rPr>
                      <w:color w:val="FF0000"/>
                    </w:rPr>
                  </w:pPr>
                  <w:r w:rsidRPr="00572DAE">
                    <w:rPr>
                      <w:color w:val="FF0000"/>
                    </w:rPr>
                    <w:t>1 </w:t>
                  </w:r>
                  <w:r w:rsidR="00867B9B" w:rsidRPr="00572DAE">
                    <w:rPr>
                      <w:color w:val="FF0000"/>
                    </w:rPr>
                    <w:t>326</w:t>
                  </w:r>
                  <w:r w:rsidRPr="00572DAE">
                    <w:rPr>
                      <w:color w:val="FF0000"/>
                    </w:rPr>
                    <w:t xml:space="preserve"> </w:t>
                  </w:r>
                  <w:r w:rsidR="00867B9B" w:rsidRPr="00572DAE">
                    <w:rPr>
                      <w:color w:val="FF0000"/>
                    </w:rPr>
                    <w:t>984</w:t>
                  </w:r>
                </w:p>
              </w:tc>
              <w:tc>
                <w:tcPr>
                  <w:tcW w:w="1266" w:type="dxa"/>
                  <w:shd w:val="clear" w:color="auto" w:fill="auto"/>
                  <w:vAlign w:val="center"/>
                </w:tcPr>
                <w:p w14:paraId="5EBFF165" w14:textId="47D1C6B1" w:rsidR="001F146B" w:rsidRPr="00572DAE" w:rsidRDefault="006F0263" w:rsidP="00DA0B03">
                  <w:pPr>
                    <w:spacing w:before="60" w:after="60"/>
                    <w:jc w:val="right"/>
                    <w:rPr>
                      <w:color w:val="FF0000"/>
                    </w:rPr>
                  </w:pPr>
                  <w:r w:rsidRPr="00572DAE">
                    <w:rPr>
                      <w:color w:val="FF0000"/>
                    </w:rPr>
                    <w:t>11 225</w:t>
                  </w:r>
                </w:p>
              </w:tc>
              <w:tc>
                <w:tcPr>
                  <w:tcW w:w="1230" w:type="dxa"/>
                  <w:shd w:val="clear" w:color="auto" w:fill="D9D9D9" w:themeFill="background1" w:themeFillShade="D9"/>
                  <w:vAlign w:val="center"/>
                </w:tcPr>
                <w:p w14:paraId="7BD9E476" w14:textId="5610D4C8" w:rsidR="001F146B" w:rsidRPr="00572DAE" w:rsidRDefault="001F146B" w:rsidP="00DA0B03">
                  <w:pPr>
                    <w:spacing w:before="60" w:after="60"/>
                    <w:jc w:val="right"/>
                    <w:rPr>
                      <w:color w:val="FF0000"/>
                    </w:rPr>
                  </w:pPr>
                </w:p>
              </w:tc>
              <w:tc>
                <w:tcPr>
                  <w:tcW w:w="1470" w:type="dxa"/>
                  <w:vAlign w:val="center"/>
                </w:tcPr>
                <w:p w14:paraId="3A801C52" w14:textId="230F7677" w:rsidR="001F146B" w:rsidRPr="00572DAE" w:rsidRDefault="006F0263" w:rsidP="00DA0B03">
                  <w:pPr>
                    <w:spacing w:before="60" w:after="60"/>
                    <w:jc w:val="right"/>
                    <w:rPr>
                      <w:color w:val="FF0000"/>
                    </w:rPr>
                  </w:pPr>
                  <w:r w:rsidRPr="00572DAE">
                    <w:rPr>
                      <w:color w:val="FF0000"/>
                    </w:rPr>
                    <w:t>1 </w:t>
                  </w:r>
                  <w:r w:rsidR="00867B9B" w:rsidRPr="00572DAE">
                    <w:rPr>
                      <w:color w:val="FF0000"/>
                    </w:rPr>
                    <w:t>338</w:t>
                  </w:r>
                  <w:r w:rsidRPr="00572DAE">
                    <w:rPr>
                      <w:color w:val="FF0000"/>
                    </w:rPr>
                    <w:t xml:space="preserve"> 2</w:t>
                  </w:r>
                  <w:r w:rsidR="00867B9B" w:rsidRPr="00572DAE">
                    <w:rPr>
                      <w:color w:val="FF0000"/>
                    </w:rPr>
                    <w:t>09</w:t>
                  </w:r>
                </w:p>
              </w:tc>
            </w:tr>
            <w:tr w:rsidR="00DA0B03" w:rsidRPr="00DA0B03" w14:paraId="2BF19D46" w14:textId="77777777" w:rsidTr="00DA0B03">
              <w:tc>
                <w:tcPr>
                  <w:tcW w:w="5024" w:type="dxa"/>
                  <w:vAlign w:val="center"/>
                </w:tcPr>
                <w:p w14:paraId="15E8A318" w14:textId="77777777" w:rsidR="001F146B" w:rsidRPr="00572DAE" w:rsidRDefault="001F146B" w:rsidP="00DA0B03">
                  <w:pPr>
                    <w:spacing w:before="60" w:after="60"/>
                    <w:rPr>
                      <w:color w:val="FF0000"/>
                    </w:rPr>
                  </w:pPr>
                  <w:r w:rsidRPr="00572DAE">
                    <w:rPr>
                      <w:color w:val="FF0000"/>
                    </w:rPr>
                    <w:t>Sensibilisation des législateurs et des agents des forces de l’ordre</w:t>
                  </w:r>
                </w:p>
              </w:tc>
              <w:tc>
                <w:tcPr>
                  <w:tcW w:w="1240" w:type="dxa"/>
                  <w:vAlign w:val="center"/>
                </w:tcPr>
                <w:p w14:paraId="6DD394FD" w14:textId="35260CF2" w:rsidR="001F146B" w:rsidRPr="00572DAE" w:rsidRDefault="006F0263" w:rsidP="00DA0B03">
                  <w:pPr>
                    <w:spacing w:before="60" w:after="60"/>
                    <w:jc w:val="right"/>
                    <w:rPr>
                      <w:color w:val="FF0000"/>
                    </w:rPr>
                  </w:pPr>
                  <w:r w:rsidRPr="00572DAE">
                    <w:rPr>
                      <w:color w:val="FF0000"/>
                    </w:rPr>
                    <w:t>43 629</w:t>
                  </w:r>
                </w:p>
              </w:tc>
              <w:tc>
                <w:tcPr>
                  <w:tcW w:w="1266" w:type="dxa"/>
                  <w:shd w:val="clear" w:color="auto" w:fill="auto"/>
                  <w:vAlign w:val="center"/>
                </w:tcPr>
                <w:p w14:paraId="044F3857" w14:textId="4381D747" w:rsidR="001F146B" w:rsidRPr="00572DAE" w:rsidRDefault="006F0263" w:rsidP="00DA0B03">
                  <w:pPr>
                    <w:spacing w:before="60" w:after="60"/>
                    <w:jc w:val="right"/>
                    <w:rPr>
                      <w:color w:val="FF0000"/>
                    </w:rPr>
                  </w:pPr>
                  <w:r w:rsidRPr="00572DAE">
                    <w:rPr>
                      <w:color w:val="FF0000"/>
                    </w:rPr>
                    <w:t>47</w:t>
                  </w:r>
                  <w:r w:rsidR="001F146B" w:rsidRPr="00572DAE">
                    <w:rPr>
                      <w:color w:val="FF0000"/>
                    </w:rPr>
                    <w:t xml:space="preserve"> </w:t>
                  </w:r>
                  <w:r w:rsidRPr="00572DAE">
                    <w:rPr>
                      <w:color w:val="FF0000"/>
                    </w:rPr>
                    <w:t>503</w:t>
                  </w:r>
                </w:p>
              </w:tc>
              <w:tc>
                <w:tcPr>
                  <w:tcW w:w="1230" w:type="dxa"/>
                  <w:shd w:val="clear" w:color="auto" w:fill="D9D9D9" w:themeFill="background1" w:themeFillShade="D9"/>
                  <w:vAlign w:val="center"/>
                </w:tcPr>
                <w:p w14:paraId="69078E0A" w14:textId="049C8962" w:rsidR="001F146B" w:rsidRPr="00572DAE" w:rsidRDefault="001F146B" w:rsidP="00DA0B03">
                  <w:pPr>
                    <w:spacing w:before="60" w:after="60"/>
                    <w:jc w:val="right"/>
                    <w:rPr>
                      <w:color w:val="FF0000"/>
                    </w:rPr>
                  </w:pPr>
                </w:p>
              </w:tc>
              <w:tc>
                <w:tcPr>
                  <w:tcW w:w="1470" w:type="dxa"/>
                  <w:vAlign w:val="center"/>
                </w:tcPr>
                <w:p w14:paraId="13548150" w14:textId="7DB386D8" w:rsidR="001F146B" w:rsidRPr="00572DAE" w:rsidRDefault="006F0263" w:rsidP="00DA0B03">
                  <w:pPr>
                    <w:spacing w:before="60" w:after="60"/>
                    <w:jc w:val="right"/>
                    <w:rPr>
                      <w:color w:val="FF0000"/>
                    </w:rPr>
                  </w:pPr>
                  <w:r w:rsidRPr="00572DAE">
                    <w:rPr>
                      <w:color w:val="FF0000"/>
                    </w:rPr>
                    <w:t>9</w:t>
                  </w:r>
                  <w:r w:rsidR="001F146B" w:rsidRPr="00572DAE">
                    <w:rPr>
                      <w:color w:val="FF0000"/>
                    </w:rPr>
                    <w:t xml:space="preserve">1 </w:t>
                  </w:r>
                  <w:r w:rsidRPr="00572DAE">
                    <w:rPr>
                      <w:color w:val="FF0000"/>
                    </w:rPr>
                    <w:t>132</w:t>
                  </w:r>
                </w:p>
              </w:tc>
            </w:tr>
            <w:tr w:rsidR="00DA0B03" w:rsidRPr="00DA0B03" w14:paraId="7FE581DF" w14:textId="77777777" w:rsidTr="00DA0B03">
              <w:tc>
                <w:tcPr>
                  <w:tcW w:w="5024" w:type="dxa"/>
                  <w:vAlign w:val="center"/>
                </w:tcPr>
                <w:p w14:paraId="6F2B5DA5" w14:textId="77777777" w:rsidR="001F146B" w:rsidRPr="00572DAE" w:rsidRDefault="001F146B" w:rsidP="00DA0B03">
                  <w:pPr>
                    <w:spacing w:before="60" w:after="60"/>
                    <w:rPr>
                      <w:color w:val="FF0000"/>
                    </w:rPr>
                  </w:pPr>
                  <w:r w:rsidRPr="00572DAE">
                    <w:rPr>
                      <w:color w:val="FF0000"/>
                    </w:rPr>
                    <w:t>Services juridiques liés au VIH et à la co-infection VIH/tuberculose</w:t>
                  </w:r>
                </w:p>
              </w:tc>
              <w:tc>
                <w:tcPr>
                  <w:tcW w:w="1240" w:type="dxa"/>
                  <w:vAlign w:val="center"/>
                </w:tcPr>
                <w:p w14:paraId="6DB46D43" w14:textId="551775A4" w:rsidR="001F146B" w:rsidRPr="00572DAE" w:rsidRDefault="006F0263" w:rsidP="00DA0B03">
                  <w:pPr>
                    <w:spacing w:before="60" w:after="60"/>
                    <w:jc w:val="right"/>
                    <w:rPr>
                      <w:color w:val="FF0000"/>
                    </w:rPr>
                  </w:pPr>
                  <w:r w:rsidRPr="00572DAE">
                    <w:rPr>
                      <w:color w:val="FF0000"/>
                    </w:rPr>
                    <w:t>53 890</w:t>
                  </w:r>
                </w:p>
              </w:tc>
              <w:tc>
                <w:tcPr>
                  <w:tcW w:w="1266" w:type="dxa"/>
                  <w:shd w:val="clear" w:color="auto" w:fill="auto"/>
                  <w:vAlign w:val="center"/>
                </w:tcPr>
                <w:p w14:paraId="6D2D8AD9" w14:textId="164513DB" w:rsidR="001F146B" w:rsidRPr="00572DAE" w:rsidRDefault="006F0263" w:rsidP="00DA0B03">
                  <w:pPr>
                    <w:spacing w:before="60" w:after="60"/>
                    <w:jc w:val="right"/>
                    <w:rPr>
                      <w:color w:val="FF0000"/>
                    </w:rPr>
                  </w:pPr>
                  <w:r w:rsidRPr="00572DAE">
                    <w:rPr>
                      <w:color w:val="FF0000"/>
                    </w:rPr>
                    <w:t>933 006</w:t>
                  </w:r>
                </w:p>
              </w:tc>
              <w:tc>
                <w:tcPr>
                  <w:tcW w:w="1230" w:type="dxa"/>
                  <w:shd w:val="clear" w:color="auto" w:fill="D9D9D9" w:themeFill="background1" w:themeFillShade="D9"/>
                  <w:vAlign w:val="center"/>
                </w:tcPr>
                <w:p w14:paraId="3DD099F4" w14:textId="6E311CDF" w:rsidR="001F146B" w:rsidRPr="00572DAE" w:rsidRDefault="001F146B" w:rsidP="00DA0B03">
                  <w:pPr>
                    <w:spacing w:before="60" w:after="60"/>
                    <w:jc w:val="right"/>
                    <w:rPr>
                      <w:color w:val="FF0000"/>
                    </w:rPr>
                  </w:pPr>
                </w:p>
              </w:tc>
              <w:tc>
                <w:tcPr>
                  <w:tcW w:w="1470" w:type="dxa"/>
                  <w:vAlign w:val="center"/>
                </w:tcPr>
                <w:p w14:paraId="06AEEDCD" w14:textId="120866E0" w:rsidR="001F146B" w:rsidRPr="00572DAE" w:rsidRDefault="006F0263" w:rsidP="00DA0B03">
                  <w:pPr>
                    <w:spacing w:before="60" w:after="60"/>
                    <w:jc w:val="right"/>
                    <w:rPr>
                      <w:color w:val="FF0000"/>
                    </w:rPr>
                  </w:pPr>
                  <w:r w:rsidRPr="00572DAE">
                    <w:rPr>
                      <w:color w:val="FF0000"/>
                    </w:rPr>
                    <w:t>986 896</w:t>
                  </w:r>
                </w:p>
              </w:tc>
            </w:tr>
            <w:tr w:rsidR="00DA0B03" w:rsidRPr="00DA0B03" w14:paraId="4D901702" w14:textId="77777777" w:rsidTr="00DA0B03">
              <w:tc>
                <w:tcPr>
                  <w:tcW w:w="5024" w:type="dxa"/>
                  <w:vAlign w:val="center"/>
                </w:tcPr>
                <w:p w14:paraId="22B45541" w14:textId="77777777" w:rsidR="001F146B" w:rsidRPr="00572DAE" w:rsidRDefault="001F146B" w:rsidP="00DA0B03">
                  <w:pPr>
                    <w:spacing w:before="60" w:after="60"/>
                    <w:rPr>
                      <w:b/>
                      <w:bCs/>
                      <w:color w:val="FF0000"/>
                    </w:rPr>
                  </w:pPr>
                  <w:r w:rsidRPr="00572DAE">
                    <w:rPr>
                      <w:b/>
                      <w:bCs/>
                      <w:color w:val="FF0000"/>
                    </w:rPr>
                    <w:t>Budget global</w:t>
                  </w:r>
                </w:p>
              </w:tc>
              <w:tc>
                <w:tcPr>
                  <w:tcW w:w="1240" w:type="dxa"/>
                  <w:vAlign w:val="center"/>
                </w:tcPr>
                <w:p w14:paraId="7B376139" w14:textId="41E8007A" w:rsidR="001F146B" w:rsidRPr="00572DAE" w:rsidRDefault="00A1596F" w:rsidP="00DA0B03">
                  <w:pPr>
                    <w:spacing w:before="60" w:after="60"/>
                    <w:jc w:val="right"/>
                    <w:rPr>
                      <w:b/>
                      <w:bCs/>
                      <w:color w:val="FF0000"/>
                    </w:rPr>
                  </w:pPr>
                  <w:r w:rsidRPr="00572DAE">
                    <w:rPr>
                      <w:b/>
                      <w:bCs/>
                      <w:color w:val="FF0000"/>
                    </w:rPr>
                    <w:t>2</w:t>
                  </w:r>
                  <w:r w:rsidR="000061AA" w:rsidRPr="00572DAE">
                    <w:rPr>
                      <w:b/>
                      <w:bCs/>
                      <w:color w:val="FF0000"/>
                    </w:rPr>
                    <w:t> 860 865</w:t>
                  </w:r>
                </w:p>
              </w:tc>
              <w:tc>
                <w:tcPr>
                  <w:tcW w:w="1266" w:type="dxa"/>
                  <w:vAlign w:val="center"/>
                </w:tcPr>
                <w:p w14:paraId="08F061EB" w14:textId="6F679612" w:rsidR="001F146B" w:rsidRPr="00572DAE" w:rsidRDefault="005C5117" w:rsidP="00DA0B03">
                  <w:pPr>
                    <w:spacing w:before="60" w:after="60"/>
                    <w:jc w:val="right"/>
                    <w:rPr>
                      <w:b/>
                      <w:bCs/>
                      <w:color w:val="FF0000"/>
                    </w:rPr>
                  </w:pPr>
                  <w:r w:rsidRPr="00572DAE">
                    <w:rPr>
                      <w:b/>
                      <w:bCs/>
                      <w:color w:val="FF0000"/>
                    </w:rPr>
                    <w:t>1 9</w:t>
                  </w:r>
                  <w:r w:rsidR="00A1596F" w:rsidRPr="00572DAE">
                    <w:rPr>
                      <w:b/>
                      <w:bCs/>
                      <w:color w:val="FF0000"/>
                    </w:rPr>
                    <w:t>9</w:t>
                  </w:r>
                  <w:r w:rsidR="00661CE1" w:rsidRPr="00572DAE">
                    <w:rPr>
                      <w:b/>
                      <w:bCs/>
                      <w:color w:val="FF0000"/>
                    </w:rPr>
                    <w:t>4</w:t>
                  </w:r>
                  <w:r w:rsidR="00A1596F" w:rsidRPr="00572DAE">
                    <w:rPr>
                      <w:b/>
                      <w:bCs/>
                      <w:color w:val="FF0000"/>
                    </w:rPr>
                    <w:t xml:space="preserve"> </w:t>
                  </w:r>
                  <w:r w:rsidR="00661CE1" w:rsidRPr="00572DAE">
                    <w:rPr>
                      <w:b/>
                      <w:bCs/>
                      <w:color w:val="FF0000"/>
                    </w:rPr>
                    <w:t>63</w:t>
                  </w:r>
                  <w:r w:rsidR="00A1596F" w:rsidRPr="00572DAE">
                    <w:rPr>
                      <w:b/>
                      <w:bCs/>
                      <w:color w:val="FF0000"/>
                    </w:rPr>
                    <w:t>0</w:t>
                  </w:r>
                </w:p>
              </w:tc>
              <w:tc>
                <w:tcPr>
                  <w:tcW w:w="1230" w:type="dxa"/>
                  <w:shd w:val="clear" w:color="auto" w:fill="auto"/>
                  <w:vAlign w:val="center"/>
                </w:tcPr>
                <w:p w14:paraId="1699B3E8" w14:textId="0734A025" w:rsidR="001F146B" w:rsidRPr="00572DAE" w:rsidRDefault="001F146B" w:rsidP="00DA0B03">
                  <w:pPr>
                    <w:spacing w:before="60" w:after="60"/>
                    <w:jc w:val="right"/>
                    <w:rPr>
                      <w:b/>
                      <w:bCs/>
                      <w:color w:val="FF0000"/>
                    </w:rPr>
                  </w:pPr>
                  <w:r w:rsidRPr="00572DAE">
                    <w:rPr>
                      <w:b/>
                      <w:bCs/>
                      <w:color w:val="FF0000"/>
                    </w:rPr>
                    <w:t>250 000</w:t>
                  </w:r>
                </w:p>
              </w:tc>
              <w:tc>
                <w:tcPr>
                  <w:tcW w:w="1470" w:type="dxa"/>
                  <w:vAlign w:val="center"/>
                </w:tcPr>
                <w:p w14:paraId="219789D9" w14:textId="004847C5" w:rsidR="001F146B" w:rsidRPr="00572DAE" w:rsidRDefault="00DA0B03" w:rsidP="00DA0B03">
                  <w:pPr>
                    <w:spacing w:before="60" w:after="60"/>
                    <w:jc w:val="right"/>
                    <w:rPr>
                      <w:b/>
                      <w:bCs/>
                      <w:color w:val="FF0000"/>
                    </w:rPr>
                  </w:pPr>
                  <w:r w:rsidRPr="00572DAE">
                    <w:rPr>
                      <w:b/>
                      <w:bCs/>
                      <w:color w:val="FF0000"/>
                    </w:rPr>
                    <w:t>5</w:t>
                  </w:r>
                  <w:r w:rsidR="00A1596F" w:rsidRPr="00572DAE">
                    <w:rPr>
                      <w:b/>
                      <w:bCs/>
                      <w:color w:val="FF0000"/>
                    </w:rPr>
                    <w:t> </w:t>
                  </w:r>
                  <w:r w:rsidRPr="00572DAE">
                    <w:rPr>
                      <w:b/>
                      <w:bCs/>
                      <w:color w:val="FF0000"/>
                    </w:rPr>
                    <w:t>1</w:t>
                  </w:r>
                  <w:r w:rsidR="00867B9B" w:rsidRPr="00572DAE">
                    <w:rPr>
                      <w:b/>
                      <w:bCs/>
                      <w:color w:val="FF0000"/>
                    </w:rPr>
                    <w:t>05</w:t>
                  </w:r>
                  <w:r w:rsidR="00A1596F" w:rsidRPr="00572DAE">
                    <w:rPr>
                      <w:b/>
                      <w:bCs/>
                      <w:color w:val="FF0000"/>
                    </w:rPr>
                    <w:t xml:space="preserve"> 4</w:t>
                  </w:r>
                  <w:r w:rsidR="00867B9B" w:rsidRPr="00572DAE">
                    <w:rPr>
                      <w:b/>
                      <w:bCs/>
                      <w:color w:val="FF0000"/>
                    </w:rPr>
                    <w:t>95</w:t>
                  </w:r>
                </w:p>
              </w:tc>
            </w:tr>
          </w:tbl>
          <w:p w14:paraId="49998FD7" w14:textId="77777777" w:rsidR="00DA0B03" w:rsidRPr="000061AA" w:rsidRDefault="00773FD6" w:rsidP="00750CA9">
            <w:pPr>
              <w:pStyle w:val="Texteformulaire"/>
            </w:pPr>
            <w:bookmarkStart w:id="25" w:name="lt_pId084"/>
            <w:r w:rsidRPr="000061AA">
              <w:t xml:space="preserve">La </w:t>
            </w:r>
            <w:proofErr w:type="spellStart"/>
            <w:r w:rsidRPr="000061AA">
              <w:t>somme</w:t>
            </w:r>
            <w:proofErr w:type="spellEnd"/>
            <w:r w:rsidRPr="000061AA">
              <w:t xml:space="preserve"> </w:t>
            </w:r>
            <w:proofErr w:type="spellStart"/>
            <w:r w:rsidRPr="000061AA">
              <w:t>totale</w:t>
            </w:r>
            <w:proofErr w:type="spellEnd"/>
            <w:r w:rsidRPr="000061AA">
              <w:t xml:space="preserve"> </w:t>
            </w:r>
            <w:proofErr w:type="spellStart"/>
            <w:r w:rsidRPr="000061AA">
              <w:t>investie</w:t>
            </w:r>
            <w:proofErr w:type="spellEnd"/>
            <w:r w:rsidRPr="000061AA">
              <w:t xml:space="preserve"> dans le module </w:t>
            </w:r>
            <w:proofErr w:type="spellStart"/>
            <w:r w:rsidRPr="000061AA">
              <w:t>équivalent</w:t>
            </w:r>
            <w:proofErr w:type="spellEnd"/>
            <w:r w:rsidRPr="000061AA">
              <w:t xml:space="preserve"> du NFM2 </w:t>
            </w:r>
            <w:proofErr w:type="spellStart"/>
            <w:r w:rsidRPr="000061AA">
              <w:t>est</w:t>
            </w:r>
            <w:proofErr w:type="spellEnd"/>
            <w:r w:rsidRPr="000061AA">
              <w:t xml:space="preserve"> </w:t>
            </w:r>
            <w:proofErr w:type="spellStart"/>
            <w:r w:rsidRPr="000061AA">
              <w:t>d’environ</w:t>
            </w:r>
            <w:proofErr w:type="spellEnd"/>
            <w:r w:rsidRPr="000061AA">
              <w:t xml:space="preserve"> € 2,</w:t>
            </w:r>
            <w:r w:rsidR="00EC591F" w:rsidRPr="000061AA">
              <w:t>037</w:t>
            </w:r>
            <w:r w:rsidRPr="000061AA">
              <w:t>,</w:t>
            </w:r>
            <w:r w:rsidR="00EC591F" w:rsidRPr="000061AA">
              <w:t>534</w:t>
            </w:r>
            <w:r w:rsidRPr="000061AA">
              <w:t xml:space="preserve">. </w:t>
            </w:r>
            <w:proofErr w:type="spellStart"/>
            <w:r w:rsidRPr="000061AA">
              <w:t>L’augmentation</w:t>
            </w:r>
            <w:proofErr w:type="spellEnd"/>
            <w:r w:rsidRPr="000061AA">
              <w:t xml:space="preserve"> </w:t>
            </w:r>
            <w:proofErr w:type="spellStart"/>
            <w:r w:rsidRPr="000061AA">
              <w:t>globale</w:t>
            </w:r>
            <w:proofErr w:type="spellEnd"/>
            <w:r w:rsidRPr="000061AA">
              <w:t xml:space="preserve"> de </w:t>
            </w:r>
            <w:proofErr w:type="spellStart"/>
            <w:r w:rsidRPr="000061AA">
              <w:t>l’allocation</w:t>
            </w:r>
            <w:proofErr w:type="spellEnd"/>
            <w:r w:rsidRPr="000061AA">
              <w:t xml:space="preserve"> entre le NFM2 et le NFM3 </w:t>
            </w:r>
            <w:proofErr w:type="spellStart"/>
            <w:r w:rsidRPr="000061AA">
              <w:t>est</w:t>
            </w:r>
            <w:proofErr w:type="spellEnd"/>
            <w:r w:rsidRPr="000061AA">
              <w:t xml:space="preserve"> de 16%. </w:t>
            </w:r>
            <w:proofErr w:type="spellStart"/>
            <w:r w:rsidRPr="000061AA">
              <w:t>L’investissement</w:t>
            </w:r>
            <w:proofErr w:type="spellEnd"/>
            <w:r w:rsidRPr="000061AA">
              <w:t xml:space="preserve"> minimal </w:t>
            </w:r>
            <w:proofErr w:type="spellStart"/>
            <w:r w:rsidRPr="000061AA">
              <w:t>requis</w:t>
            </w:r>
            <w:proofErr w:type="spellEnd"/>
            <w:r w:rsidRPr="000061AA">
              <w:t xml:space="preserve"> pour le module </w:t>
            </w:r>
            <w:proofErr w:type="spellStart"/>
            <w:r w:rsidRPr="000061AA">
              <w:t>est</w:t>
            </w:r>
            <w:proofErr w:type="spellEnd"/>
            <w:r w:rsidRPr="000061AA">
              <w:t xml:space="preserve"> </w:t>
            </w:r>
            <w:proofErr w:type="spellStart"/>
            <w:r w:rsidRPr="000061AA">
              <w:t>ainsi</w:t>
            </w:r>
            <w:proofErr w:type="spellEnd"/>
            <w:r w:rsidRPr="000061AA">
              <w:t xml:space="preserve"> de € 2,3</w:t>
            </w:r>
            <w:r w:rsidR="00EC591F" w:rsidRPr="000061AA">
              <w:t>63</w:t>
            </w:r>
            <w:r w:rsidRPr="000061AA">
              <w:t>,</w:t>
            </w:r>
            <w:r w:rsidR="00EC591F" w:rsidRPr="000061AA">
              <w:t>540</w:t>
            </w:r>
            <w:r w:rsidRPr="000061AA">
              <w:t xml:space="preserve">. </w:t>
            </w:r>
          </w:p>
          <w:p w14:paraId="2E1D70EF" w14:textId="2330138F" w:rsidR="000C111C" w:rsidRPr="00DA0B03" w:rsidRDefault="00EC5CE0" w:rsidP="00DA0B03">
            <w:pPr>
              <w:pStyle w:val="Texteformulaire"/>
              <w:rPr>
                <w:highlight w:val="yellow"/>
                <w:lang w:val="fr-FR"/>
              </w:rPr>
            </w:pPr>
            <w:r w:rsidRPr="00750CA9">
              <w:t xml:space="preserve">La Côte d'Ivoire </w:t>
            </w:r>
            <w:proofErr w:type="spellStart"/>
            <w:r w:rsidRPr="00750CA9">
              <w:t>répond</w:t>
            </w:r>
            <w:proofErr w:type="spellEnd"/>
            <w:r w:rsidRPr="00750CA9">
              <w:t xml:space="preserve"> </w:t>
            </w:r>
            <w:proofErr w:type="spellStart"/>
            <w:r w:rsidR="00651EBA">
              <w:t>ainsi</w:t>
            </w:r>
            <w:proofErr w:type="spellEnd"/>
            <w:r w:rsidR="00651EBA">
              <w:t xml:space="preserve"> </w:t>
            </w:r>
            <w:r w:rsidRPr="00750CA9">
              <w:t xml:space="preserve">aux conditions </w:t>
            </w:r>
            <w:proofErr w:type="spellStart"/>
            <w:r w:rsidRPr="00750CA9">
              <w:t>d’éligibilité</w:t>
            </w:r>
            <w:proofErr w:type="spellEnd"/>
            <w:r w:rsidRPr="00750CA9">
              <w:t xml:space="preserve"> pour </w:t>
            </w:r>
            <w:r w:rsidR="00651EBA" w:rsidRPr="00750CA9">
              <w:t>la</w:t>
            </w:r>
            <w:r w:rsidRPr="00750CA9">
              <w:t xml:space="preserve"> </w:t>
            </w:r>
            <w:proofErr w:type="spellStart"/>
            <w:r w:rsidRPr="00750CA9">
              <w:t>somme</w:t>
            </w:r>
            <w:proofErr w:type="spellEnd"/>
            <w:r w:rsidRPr="00750CA9">
              <w:t xml:space="preserve"> de </w:t>
            </w:r>
            <w:r w:rsidRPr="00750CA9">
              <w:rPr>
                <w:b/>
                <w:bCs/>
              </w:rPr>
              <w:t>€ 1,994,630</w:t>
            </w:r>
            <w:r w:rsidRPr="00750CA9">
              <w:t xml:space="preserve"> sous la </w:t>
            </w:r>
            <w:proofErr w:type="spellStart"/>
            <w:r w:rsidRPr="00750CA9">
              <w:t>forme</w:t>
            </w:r>
            <w:proofErr w:type="spellEnd"/>
            <w:r w:rsidRPr="00750CA9">
              <w:t xml:space="preserve"> de fonds </w:t>
            </w:r>
            <w:proofErr w:type="spellStart"/>
            <w:r w:rsidRPr="00750CA9">
              <w:t>catalytiques</w:t>
            </w:r>
            <w:proofErr w:type="spellEnd"/>
            <w:r w:rsidRPr="00750CA9">
              <w:t xml:space="preserve"> </w:t>
            </w:r>
            <w:proofErr w:type="spellStart"/>
            <w:r w:rsidRPr="00750CA9">
              <w:t>supplémentaires</w:t>
            </w:r>
            <w:proofErr w:type="spellEnd"/>
            <w:r w:rsidRPr="00750CA9">
              <w:t xml:space="preserve"> au-</w:t>
            </w:r>
            <w:proofErr w:type="spellStart"/>
            <w:r w:rsidRPr="00750CA9">
              <w:t>delà</w:t>
            </w:r>
            <w:proofErr w:type="spellEnd"/>
            <w:r w:rsidRPr="00750CA9">
              <w:t xml:space="preserve"> du </w:t>
            </w:r>
            <w:proofErr w:type="spellStart"/>
            <w:r w:rsidRPr="00750CA9">
              <w:t>montant</w:t>
            </w:r>
            <w:proofErr w:type="spellEnd"/>
            <w:r w:rsidRPr="00750CA9">
              <w:t xml:space="preserve"> </w:t>
            </w:r>
            <w:proofErr w:type="spellStart"/>
            <w:r w:rsidRPr="00750CA9">
              <w:t>alloué</w:t>
            </w:r>
            <w:proofErr w:type="spellEnd"/>
            <w:r w:rsidRPr="00750CA9">
              <w:t xml:space="preserve"> pour le </w:t>
            </w:r>
            <w:proofErr w:type="spellStart"/>
            <w:r w:rsidRPr="00750CA9">
              <w:t>domaine</w:t>
            </w:r>
            <w:proofErr w:type="spellEnd"/>
            <w:r w:rsidRPr="00750CA9">
              <w:t xml:space="preserve"> </w:t>
            </w:r>
            <w:proofErr w:type="spellStart"/>
            <w:r w:rsidRPr="00750CA9">
              <w:t>prioritaire</w:t>
            </w:r>
            <w:proofErr w:type="spellEnd"/>
            <w:r w:rsidRPr="00750CA9">
              <w:t xml:space="preserve"> des droits de </w:t>
            </w:r>
            <w:proofErr w:type="spellStart"/>
            <w:r w:rsidRPr="00750CA9">
              <w:t>l'homme</w:t>
            </w:r>
            <w:proofErr w:type="spellEnd"/>
            <w:r w:rsidR="00651EBA" w:rsidRPr="00750CA9">
              <w:t xml:space="preserve">, </w:t>
            </w:r>
            <w:proofErr w:type="spellStart"/>
            <w:r w:rsidR="00651EBA" w:rsidRPr="00750CA9">
              <w:t>annoncée</w:t>
            </w:r>
            <w:proofErr w:type="spellEnd"/>
            <w:r w:rsidR="00651EBA" w:rsidRPr="00750CA9">
              <w:t xml:space="preserve"> dans la </w:t>
            </w:r>
            <w:proofErr w:type="spellStart"/>
            <w:r w:rsidR="00651EBA" w:rsidRPr="00750CA9">
              <w:t>lettre</w:t>
            </w:r>
            <w:proofErr w:type="spellEnd"/>
            <w:r w:rsidR="00651EBA" w:rsidRPr="00750CA9">
              <w:t xml:space="preserve"> </w:t>
            </w:r>
            <w:proofErr w:type="spellStart"/>
            <w:r w:rsidR="00651EBA" w:rsidRPr="00750CA9">
              <w:t>d’allocation</w:t>
            </w:r>
            <w:proofErr w:type="spellEnd"/>
            <w:r w:rsidR="00651EBA" w:rsidRPr="00750CA9">
              <w:t xml:space="preserve"> du Fonds Mondial </w:t>
            </w:r>
            <w:proofErr w:type="spellStart"/>
            <w:r w:rsidR="00651EBA" w:rsidRPr="00750CA9">
              <w:t>datée</w:t>
            </w:r>
            <w:proofErr w:type="spellEnd"/>
            <w:r w:rsidR="00651EBA" w:rsidRPr="00750CA9">
              <w:t xml:space="preserve"> du 16 </w:t>
            </w:r>
            <w:proofErr w:type="spellStart"/>
            <w:r w:rsidR="00651EBA" w:rsidRPr="00750CA9">
              <w:t>décembre</w:t>
            </w:r>
            <w:proofErr w:type="spellEnd"/>
            <w:r w:rsidR="00651EBA" w:rsidRPr="00750CA9">
              <w:t xml:space="preserve"> 2019</w:t>
            </w:r>
            <w:r w:rsidRPr="00750CA9">
              <w:t>.</w:t>
            </w:r>
            <w:bookmarkEnd w:id="25"/>
            <w:r w:rsidRPr="00750CA9">
              <w:t xml:space="preserve"> </w:t>
            </w:r>
          </w:p>
        </w:tc>
      </w:tr>
    </w:tbl>
    <w:p w14:paraId="32D4E059" w14:textId="77777777" w:rsidR="0098274C" w:rsidRPr="005305D5" w:rsidRDefault="0098274C" w:rsidP="009B6C0D">
      <w:pPr>
        <w:pStyle w:val="ListParagraph"/>
        <w:spacing w:after="0"/>
      </w:pPr>
    </w:p>
    <w:p w14:paraId="2BAF8FDF" w14:textId="7BC13EA6" w:rsidR="0098274C" w:rsidRPr="00E80CEF" w:rsidRDefault="0003674B" w:rsidP="00390EA4">
      <w:pPr>
        <w:pStyle w:val="Heading1"/>
        <w:spacing w:before="0"/>
        <w:ind w:left="567" w:hanging="567"/>
      </w:pPr>
      <w:r w:rsidRPr="00E80CEF">
        <w:t xml:space="preserve">Section 3 : </w:t>
      </w:r>
      <w:r>
        <w:t>Modalités d’application et de mise en œuvre</w:t>
      </w:r>
    </w:p>
    <w:p w14:paraId="6C15B62D" w14:textId="77777777" w:rsidR="004544BB" w:rsidRPr="00D236CA" w:rsidRDefault="004544BB" w:rsidP="009B6C0D">
      <w:pPr>
        <w:spacing w:after="0"/>
      </w:pPr>
    </w:p>
    <w:p w14:paraId="6B42C937" w14:textId="130624AF" w:rsidR="00250AD1" w:rsidRPr="00750CA9" w:rsidRDefault="004544BB" w:rsidP="009B6C0D">
      <w:pPr>
        <w:spacing w:after="0"/>
        <w:rPr>
          <w:rFonts w:ascii="Arial" w:hAnsi="Arial"/>
          <w:sz w:val="22"/>
        </w:rPr>
      </w:pPr>
      <w:r>
        <w:t xml:space="preserve">Pour répondre aux questions ci-dessous, se reporter aux </w:t>
      </w:r>
      <w:r>
        <w:rPr>
          <w:i/>
        </w:rPr>
        <w:t xml:space="preserve">Instructions </w:t>
      </w:r>
      <w:r>
        <w:t xml:space="preserve">et à une </w:t>
      </w:r>
      <w:r>
        <w:rPr>
          <w:b/>
        </w:rPr>
        <w:t>cartographie actualisée des modalités de mise en œuvre</w:t>
      </w:r>
      <w:r w:rsidR="0024579D">
        <w:rPr>
          <w:rStyle w:val="FootnoteReference"/>
          <w:lang w:val="fr-FR" w:bidi="fr-FR"/>
        </w:rPr>
        <w:footnoteReference w:id="4"/>
      </w:r>
      <w:r w:rsidRPr="00E80CEF">
        <w:t>.</w:t>
      </w:r>
    </w:p>
    <w:p w14:paraId="0FDD8F72" w14:textId="77777777" w:rsidR="00DE1608" w:rsidRPr="00D236CA" w:rsidRDefault="00DE1608" w:rsidP="009B6C0D">
      <w:pPr>
        <w:spacing w:after="0"/>
      </w:pPr>
    </w:p>
    <w:p w14:paraId="65C04810" w14:textId="77777777" w:rsidR="00267D16" w:rsidRPr="00D236CA" w:rsidRDefault="00267D16" w:rsidP="00267D16">
      <w:pPr>
        <w:pStyle w:val="ListParagraph"/>
        <w:numPr>
          <w:ilvl w:val="0"/>
          <w:numId w:val="22"/>
        </w:numPr>
        <w:spacing w:after="0" w:line="260" w:lineRule="atLeast"/>
        <w:ind w:left="450" w:hanging="450"/>
      </w:pPr>
      <w:r w:rsidRPr="004F1255">
        <w:rPr>
          <w:lang w:bidi="fr-FR"/>
        </w:rPr>
        <w:t xml:space="preserve">Décrire la façon dont les </w:t>
      </w:r>
      <w:r w:rsidRPr="004F1255">
        <w:rPr>
          <w:b/>
          <w:lang w:bidi="fr-FR"/>
        </w:rPr>
        <w:t>modalités de mise en œuvre</w:t>
      </w:r>
      <w:r w:rsidRPr="004F1255">
        <w:rPr>
          <w:lang w:bidi="fr-FR"/>
        </w:rPr>
        <w:t xml:space="preserve"> proposées garantiront l’exécution efficace du programme.</w:t>
      </w:r>
    </w:p>
    <w:p w14:paraId="1C9977B0" w14:textId="77777777" w:rsidR="00267D16" w:rsidRPr="00D236CA" w:rsidRDefault="00267D16" w:rsidP="00267D16">
      <w:pPr>
        <w:pStyle w:val="ListParagraph"/>
        <w:spacing w:after="0" w:line="260" w:lineRule="atLeast"/>
        <w:ind w:left="450"/>
      </w:pPr>
    </w:p>
    <w:tbl>
      <w:tblPr>
        <w:tblStyle w:val="TableGrid"/>
        <w:tblW w:w="0" w:type="auto"/>
        <w:tblLook w:val="04A0" w:firstRow="1" w:lastRow="0" w:firstColumn="1" w:lastColumn="0" w:noHBand="0" w:noVBand="1"/>
      </w:tblPr>
      <w:tblGrid>
        <w:gridCol w:w="10456"/>
      </w:tblGrid>
      <w:tr w:rsidR="00267D16" w:rsidRPr="00E2627C" w14:paraId="50198508" w14:textId="77777777" w:rsidTr="006603FF">
        <w:tc>
          <w:tcPr>
            <w:tcW w:w="10790" w:type="dxa"/>
          </w:tcPr>
          <w:p w14:paraId="29A860CA" w14:textId="7F474C8A" w:rsidR="002B7FAB" w:rsidRDefault="00267D16" w:rsidP="004E7FC0">
            <w:pPr>
              <w:pStyle w:val="NormalNoSpace"/>
              <w:rPr>
                <w:lang w:val="fr-FR"/>
              </w:rPr>
            </w:pPr>
            <w:r w:rsidRPr="0019513D">
              <w:rPr>
                <w:lang w:val="fr-FR"/>
              </w:rPr>
              <w:t xml:space="preserve">La mise en œuvre de cette subvention sera assurée par deux </w:t>
            </w:r>
            <w:proofErr w:type="spellStart"/>
            <w:r w:rsidR="002B7FAB">
              <w:t>Récipendaires</w:t>
            </w:r>
            <w:proofErr w:type="spellEnd"/>
            <w:r w:rsidR="002B7FAB">
              <w:t xml:space="preserve"> </w:t>
            </w:r>
            <w:proofErr w:type="spellStart"/>
            <w:r w:rsidR="002B7FAB">
              <w:t>Principaux</w:t>
            </w:r>
            <w:proofErr w:type="spellEnd"/>
            <w:r w:rsidR="002B7FAB">
              <w:t xml:space="preserve"> (PR) </w:t>
            </w:r>
            <w:r w:rsidRPr="0019513D">
              <w:rPr>
                <w:lang w:val="fr-FR"/>
              </w:rPr>
              <w:t xml:space="preserve">: le PR </w:t>
            </w:r>
            <w:r w:rsidR="002B7FAB">
              <w:rPr>
                <w:lang w:val="fr-FR"/>
              </w:rPr>
              <w:t>du secteur p</w:t>
            </w:r>
            <w:r w:rsidRPr="0019513D">
              <w:rPr>
                <w:lang w:val="fr-FR"/>
              </w:rPr>
              <w:t xml:space="preserve">ublic (PNLS) et le PR </w:t>
            </w:r>
            <w:r w:rsidR="002B7FAB">
              <w:rPr>
                <w:lang w:val="fr-FR"/>
              </w:rPr>
              <w:t xml:space="preserve">de la société civile ou PR </w:t>
            </w:r>
            <w:r w:rsidRPr="0019513D">
              <w:rPr>
                <w:lang w:val="fr-FR"/>
              </w:rPr>
              <w:t>communautaire (Alliance Côte d’Ivoire). Le cadre de collaboration existant entre les</w:t>
            </w:r>
            <w:r w:rsidR="002B7FAB">
              <w:rPr>
                <w:lang w:val="fr-FR"/>
              </w:rPr>
              <w:t xml:space="preserve"> deux</w:t>
            </w:r>
            <w:r w:rsidRPr="0019513D">
              <w:rPr>
                <w:lang w:val="fr-FR"/>
              </w:rPr>
              <w:t xml:space="preserve"> </w:t>
            </w:r>
            <w:proofErr w:type="spellStart"/>
            <w:r w:rsidRPr="0019513D">
              <w:rPr>
                <w:lang w:val="fr-FR"/>
              </w:rPr>
              <w:t>PR</w:t>
            </w:r>
            <w:r w:rsidR="002B7FAB">
              <w:rPr>
                <w:lang w:val="fr-FR"/>
              </w:rPr>
              <w:t>s</w:t>
            </w:r>
            <w:proofErr w:type="spellEnd"/>
            <w:r w:rsidRPr="0019513D">
              <w:rPr>
                <w:lang w:val="fr-FR"/>
              </w:rPr>
              <w:t xml:space="preserve"> prévoit à tous les niveaux la tenue de réunions pour assurer la coordination des interventions et le suivi du programme. </w:t>
            </w:r>
          </w:p>
          <w:p w14:paraId="469167AA" w14:textId="75B167CE" w:rsidR="00267D16" w:rsidRPr="0019513D" w:rsidRDefault="00267D16" w:rsidP="004E7FC0">
            <w:pPr>
              <w:pStyle w:val="NormalNoSpace"/>
              <w:rPr>
                <w:lang w:val="fr-FR"/>
              </w:rPr>
            </w:pPr>
            <w:r w:rsidRPr="0019513D">
              <w:rPr>
                <w:lang w:val="fr-FR"/>
              </w:rPr>
              <w:t xml:space="preserve">De plus, un cadre de collaboration sera signé entre Alliance Côte d’Ivoire et la Direction de la </w:t>
            </w:r>
            <w:r w:rsidR="002B7FAB">
              <w:rPr>
                <w:lang w:val="fr-FR"/>
              </w:rPr>
              <w:t>S</w:t>
            </w:r>
            <w:r w:rsidRPr="0019513D">
              <w:rPr>
                <w:lang w:val="fr-FR"/>
              </w:rPr>
              <w:t xml:space="preserve">anté </w:t>
            </w:r>
            <w:r w:rsidR="007232DB">
              <w:rPr>
                <w:lang w:val="fr-FR"/>
              </w:rPr>
              <w:t>C</w:t>
            </w:r>
            <w:r w:rsidRPr="0019513D">
              <w:rPr>
                <w:lang w:val="fr-FR"/>
              </w:rPr>
              <w:t xml:space="preserve">ommunautaire </w:t>
            </w:r>
            <w:r w:rsidR="007232DB">
              <w:rPr>
                <w:lang w:val="fr-FR"/>
              </w:rPr>
              <w:t xml:space="preserve">(DSC/MSHP) </w:t>
            </w:r>
            <w:r w:rsidRPr="0019513D">
              <w:rPr>
                <w:lang w:val="fr-FR"/>
              </w:rPr>
              <w:t xml:space="preserve">pour assurer l’alignement </w:t>
            </w:r>
            <w:r w:rsidR="007232DB">
              <w:rPr>
                <w:lang w:val="fr-FR"/>
              </w:rPr>
              <w:t xml:space="preserve">de ses interventions </w:t>
            </w:r>
            <w:r w:rsidRPr="0019513D">
              <w:rPr>
                <w:lang w:val="fr-FR"/>
              </w:rPr>
              <w:t xml:space="preserve">avec la </w:t>
            </w:r>
            <w:r w:rsidR="007232DB">
              <w:rPr>
                <w:lang w:val="fr-FR"/>
              </w:rPr>
              <w:t>S</w:t>
            </w:r>
            <w:r w:rsidRPr="0019513D">
              <w:rPr>
                <w:lang w:val="fr-FR"/>
              </w:rPr>
              <w:t xml:space="preserve">tratégie </w:t>
            </w:r>
            <w:r w:rsidR="007232DB">
              <w:rPr>
                <w:lang w:val="fr-FR"/>
              </w:rPr>
              <w:t>N</w:t>
            </w:r>
            <w:r w:rsidRPr="0019513D">
              <w:rPr>
                <w:lang w:val="fr-FR"/>
              </w:rPr>
              <w:t xml:space="preserve">ationale de la </w:t>
            </w:r>
            <w:r w:rsidR="007232DB">
              <w:rPr>
                <w:lang w:val="fr-FR"/>
              </w:rPr>
              <w:t>S</w:t>
            </w:r>
            <w:r w:rsidRPr="0019513D">
              <w:rPr>
                <w:lang w:val="fr-FR"/>
              </w:rPr>
              <w:t xml:space="preserve">anté </w:t>
            </w:r>
            <w:r w:rsidR="007232DB">
              <w:rPr>
                <w:lang w:val="fr-FR"/>
              </w:rPr>
              <w:t>C</w:t>
            </w:r>
            <w:r w:rsidRPr="0019513D">
              <w:rPr>
                <w:lang w:val="fr-FR"/>
              </w:rPr>
              <w:t xml:space="preserve">ommunautaire. Les </w:t>
            </w:r>
            <w:proofErr w:type="spellStart"/>
            <w:r w:rsidRPr="0019513D">
              <w:rPr>
                <w:lang w:val="fr-FR"/>
              </w:rPr>
              <w:t>PR</w:t>
            </w:r>
            <w:r w:rsidR="007232DB">
              <w:rPr>
                <w:lang w:val="fr-FR"/>
              </w:rPr>
              <w:t>s</w:t>
            </w:r>
            <w:proofErr w:type="spellEnd"/>
            <w:r w:rsidRPr="0019513D">
              <w:rPr>
                <w:lang w:val="fr-FR"/>
              </w:rPr>
              <w:t xml:space="preserve"> s’assureront de la bonne synergie des interventions avec le PEPFAR</w:t>
            </w:r>
            <w:r w:rsidR="007232DB">
              <w:rPr>
                <w:lang w:val="fr-FR"/>
              </w:rPr>
              <w:t xml:space="preserve"> et ses organisations contractantes</w:t>
            </w:r>
            <w:r w:rsidRPr="0019513D">
              <w:rPr>
                <w:lang w:val="fr-FR"/>
              </w:rPr>
              <w:t>.</w:t>
            </w:r>
          </w:p>
          <w:p w14:paraId="5342BE99" w14:textId="77777777" w:rsidR="00267D16" w:rsidRPr="0019513D" w:rsidRDefault="00267D16" w:rsidP="004E7FC0">
            <w:pPr>
              <w:pStyle w:val="NormalNoSpace"/>
              <w:rPr>
                <w:b/>
                <w:lang w:val="fr-FR"/>
              </w:rPr>
            </w:pPr>
            <w:r w:rsidRPr="0019513D">
              <w:rPr>
                <w:lang w:val="fr-FR"/>
              </w:rPr>
              <w:t xml:space="preserve">Le CCM assurera son rôle régalien de coordination et de suivi stratégique des subventions à travers les Assemblés Générales, la revue trimestrielle des </w:t>
            </w:r>
            <w:proofErr w:type="spellStart"/>
            <w:r w:rsidRPr="0019513D">
              <w:rPr>
                <w:lang w:val="fr-FR"/>
              </w:rPr>
              <w:t>Dashboards</w:t>
            </w:r>
            <w:proofErr w:type="spellEnd"/>
            <w:r w:rsidRPr="0019513D">
              <w:rPr>
                <w:lang w:val="fr-FR"/>
              </w:rPr>
              <w:t>, la supervision des PR en s’appuyant sur les insuffisances et recommandations contenues dans les lettres de gestion, les visites des structures des SR et la revue des PUDR (</w:t>
            </w:r>
            <w:r w:rsidRPr="0019513D">
              <w:rPr>
                <w:i/>
                <w:lang w:val="fr-FR"/>
              </w:rPr>
              <w:t xml:space="preserve">Progress Update and </w:t>
            </w:r>
            <w:proofErr w:type="spellStart"/>
            <w:r w:rsidRPr="0019513D">
              <w:rPr>
                <w:i/>
                <w:lang w:val="fr-FR"/>
              </w:rPr>
              <w:t>Disbursement</w:t>
            </w:r>
            <w:proofErr w:type="spellEnd"/>
            <w:r w:rsidRPr="0019513D">
              <w:rPr>
                <w:i/>
                <w:lang w:val="fr-FR"/>
              </w:rPr>
              <w:t xml:space="preserve"> </w:t>
            </w:r>
            <w:proofErr w:type="spellStart"/>
            <w:r w:rsidRPr="0019513D">
              <w:rPr>
                <w:i/>
                <w:lang w:val="fr-FR"/>
              </w:rPr>
              <w:t>Request</w:t>
            </w:r>
            <w:proofErr w:type="spellEnd"/>
            <w:r w:rsidRPr="0019513D">
              <w:rPr>
                <w:i/>
                <w:lang w:val="fr-FR"/>
              </w:rPr>
              <w:t xml:space="preserve">) </w:t>
            </w:r>
            <w:r w:rsidRPr="0019513D">
              <w:rPr>
                <w:lang w:val="fr-FR"/>
              </w:rPr>
              <w:t>avec le LFA (Agent Local du Fonds mondial).</w:t>
            </w:r>
          </w:p>
          <w:p w14:paraId="4296C541" w14:textId="6E125952" w:rsidR="00267D16" w:rsidRPr="0019513D" w:rsidRDefault="00267D16" w:rsidP="004E7FC0">
            <w:pPr>
              <w:pStyle w:val="NormalNoSpace"/>
              <w:rPr>
                <w:lang w:val="fr-FR"/>
              </w:rPr>
            </w:pPr>
            <w:r w:rsidRPr="0019513D">
              <w:rPr>
                <w:lang w:val="fr-FR"/>
              </w:rPr>
              <w:t xml:space="preserve">L’UCP-FM assurera le suivi programmatique et le suivi de la gestion financière des subventions en lien avec le CCM et </w:t>
            </w:r>
            <w:r w:rsidR="002B7FAB">
              <w:rPr>
                <w:lang w:val="fr-FR"/>
              </w:rPr>
              <w:t xml:space="preserve">le </w:t>
            </w:r>
            <w:r w:rsidRPr="0019513D">
              <w:rPr>
                <w:lang w:val="fr-FR"/>
              </w:rPr>
              <w:t>PR public.  Elle tiendra, à travers le comité de pilotage, des réunions hebdomadaires et mensuelles selon les diligences dans le cadre de la gestion du suivi et la mise en œuvre des activités. Par ailleurs, elle assurera la préparation et la diffusion des rapports programmatiques et financiers pour les évaluations et les audits internes et externes des comptes.</w:t>
            </w:r>
          </w:p>
          <w:p w14:paraId="2F79308A" w14:textId="77777777" w:rsidR="00CF5013" w:rsidRDefault="00CF5013" w:rsidP="002B7FAB">
            <w:pPr>
              <w:pStyle w:val="Texteformulaire"/>
              <w:rPr>
                <w:b/>
                <w:bCs/>
              </w:rPr>
            </w:pPr>
          </w:p>
          <w:p w14:paraId="3CCBA1EB" w14:textId="23488092" w:rsidR="002B7FAB" w:rsidRPr="0019513D" w:rsidRDefault="002B7FAB" w:rsidP="002B7FAB">
            <w:pPr>
              <w:pStyle w:val="Texteformulaire"/>
              <w:rPr>
                <w:b/>
                <w:bCs/>
              </w:rPr>
            </w:pPr>
            <w:proofErr w:type="spellStart"/>
            <w:r w:rsidRPr="0019513D">
              <w:rPr>
                <w:b/>
                <w:bCs/>
              </w:rPr>
              <w:t>Programme</w:t>
            </w:r>
            <w:proofErr w:type="spellEnd"/>
            <w:r w:rsidRPr="0019513D">
              <w:rPr>
                <w:b/>
                <w:bCs/>
              </w:rPr>
              <w:t xml:space="preserve"> National de </w:t>
            </w:r>
            <w:proofErr w:type="spellStart"/>
            <w:r w:rsidRPr="0019513D">
              <w:rPr>
                <w:b/>
                <w:bCs/>
              </w:rPr>
              <w:t>Lutte</w:t>
            </w:r>
            <w:proofErr w:type="spellEnd"/>
            <w:r w:rsidRPr="0019513D">
              <w:rPr>
                <w:b/>
                <w:bCs/>
              </w:rPr>
              <w:t xml:space="preserve"> </w:t>
            </w:r>
            <w:proofErr w:type="spellStart"/>
            <w:r w:rsidRPr="0019513D">
              <w:rPr>
                <w:b/>
                <w:bCs/>
              </w:rPr>
              <w:t>contre</w:t>
            </w:r>
            <w:proofErr w:type="spellEnd"/>
            <w:r w:rsidRPr="0019513D">
              <w:rPr>
                <w:b/>
                <w:bCs/>
              </w:rPr>
              <w:t xml:space="preserve"> le </w:t>
            </w:r>
            <w:proofErr w:type="spellStart"/>
            <w:r w:rsidRPr="0019513D">
              <w:rPr>
                <w:b/>
                <w:bCs/>
              </w:rPr>
              <w:t>Sida</w:t>
            </w:r>
            <w:proofErr w:type="spellEnd"/>
          </w:p>
          <w:p w14:paraId="2D1A2801" w14:textId="15AD9038" w:rsidR="00267D16" w:rsidRPr="0019513D" w:rsidRDefault="002B7FAB">
            <w:pPr>
              <w:pStyle w:val="Texteformulaire"/>
            </w:pPr>
            <w:proofErr w:type="spellStart"/>
            <w:r>
              <w:t>C</w:t>
            </w:r>
            <w:r w:rsidR="00267D16" w:rsidRPr="0019513D">
              <w:t>onformément</w:t>
            </w:r>
            <w:proofErr w:type="spellEnd"/>
            <w:r w:rsidR="00267D16" w:rsidRPr="0019513D">
              <w:t xml:space="preserve"> à </w:t>
            </w:r>
            <w:proofErr w:type="spellStart"/>
            <w:r w:rsidR="00267D16" w:rsidRPr="0019513D">
              <w:t>sa</w:t>
            </w:r>
            <w:proofErr w:type="spellEnd"/>
            <w:r w:rsidR="00267D16" w:rsidRPr="0019513D">
              <w:t xml:space="preserve"> mission de structure technique du </w:t>
            </w:r>
            <w:r>
              <w:t xml:space="preserve">MSHP, le PNLS </w:t>
            </w:r>
            <w:proofErr w:type="spellStart"/>
            <w:r>
              <w:t>en</w:t>
            </w:r>
            <w:proofErr w:type="spellEnd"/>
            <w:r>
              <w:t xml:space="preserve"> </w:t>
            </w:r>
            <w:proofErr w:type="spellStart"/>
            <w:r>
              <w:t>tant</w:t>
            </w:r>
            <w:proofErr w:type="spellEnd"/>
            <w:r>
              <w:t xml:space="preserve"> que </w:t>
            </w:r>
            <w:proofErr w:type="spellStart"/>
            <w:r>
              <w:t>Récipendaire</w:t>
            </w:r>
            <w:proofErr w:type="spellEnd"/>
            <w:r>
              <w:t xml:space="preserve"> Principal (PR) du </w:t>
            </w:r>
            <w:proofErr w:type="spellStart"/>
            <w:r>
              <w:t>secteur</w:t>
            </w:r>
            <w:proofErr w:type="spellEnd"/>
            <w:r w:rsidRPr="0001315B">
              <w:t xml:space="preserve"> public </w:t>
            </w:r>
            <w:proofErr w:type="spellStart"/>
            <w:r w:rsidR="00267D16" w:rsidRPr="0019513D">
              <w:t>devra</w:t>
            </w:r>
            <w:proofErr w:type="spellEnd"/>
            <w:r w:rsidR="00267D16" w:rsidRPr="0019513D">
              <w:t xml:space="preserve"> </w:t>
            </w:r>
            <w:proofErr w:type="spellStart"/>
            <w:r w:rsidR="00267D16" w:rsidRPr="0019513D">
              <w:t>œuvrer</w:t>
            </w:r>
            <w:proofErr w:type="spellEnd"/>
            <w:r w:rsidR="00267D16" w:rsidRPr="0019513D">
              <w:t xml:space="preserve"> à </w:t>
            </w:r>
            <w:proofErr w:type="spellStart"/>
            <w:r>
              <w:t>ce</w:t>
            </w:r>
            <w:proofErr w:type="spellEnd"/>
            <w:r w:rsidR="00267D16" w:rsidRPr="0019513D">
              <w:t xml:space="preserve"> que </w:t>
            </w:r>
            <w:proofErr w:type="spellStart"/>
            <w:r w:rsidR="00267D16" w:rsidRPr="0019513D">
              <w:t>tous</w:t>
            </w:r>
            <w:proofErr w:type="spellEnd"/>
            <w:r w:rsidR="00267D16" w:rsidRPr="0019513D">
              <w:t xml:space="preserve"> les </w:t>
            </w:r>
            <w:proofErr w:type="spellStart"/>
            <w:r w:rsidR="00267D16" w:rsidRPr="0019513D">
              <w:t>besoins</w:t>
            </w:r>
            <w:proofErr w:type="spellEnd"/>
            <w:r w:rsidR="00267D16" w:rsidRPr="0019513D">
              <w:t xml:space="preserve"> de la </w:t>
            </w:r>
            <w:proofErr w:type="spellStart"/>
            <w:r w:rsidR="00267D16" w:rsidRPr="0019513D">
              <w:t>réponse</w:t>
            </w:r>
            <w:proofErr w:type="spellEnd"/>
            <w:r w:rsidR="00267D16" w:rsidRPr="0019513D">
              <w:t xml:space="preserve"> VIH </w:t>
            </w:r>
            <w:proofErr w:type="spellStart"/>
            <w:r w:rsidR="00267D16" w:rsidRPr="0019513D">
              <w:t>exprimés</w:t>
            </w:r>
            <w:proofErr w:type="spellEnd"/>
            <w:r w:rsidR="00267D16" w:rsidRPr="0019513D">
              <w:t xml:space="preserve"> dans le PSN 2021-2025 </w:t>
            </w:r>
            <w:proofErr w:type="spellStart"/>
            <w:r w:rsidR="00267D16" w:rsidRPr="0019513D">
              <w:t>soient</w:t>
            </w:r>
            <w:proofErr w:type="spellEnd"/>
            <w:r w:rsidR="00267D16" w:rsidRPr="0019513D">
              <w:t xml:space="preserve"> </w:t>
            </w:r>
            <w:proofErr w:type="spellStart"/>
            <w:r w:rsidR="00267D16" w:rsidRPr="0019513D">
              <w:t>couverts</w:t>
            </w:r>
            <w:proofErr w:type="spellEnd"/>
            <w:r w:rsidR="00CF5013">
              <w:t>,</w:t>
            </w:r>
            <w:r w:rsidR="00267D16" w:rsidRPr="0019513D">
              <w:t xml:space="preserve"> </w:t>
            </w:r>
            <w:proofErr w:type="spellStart"/>
            <w:r w:rsidR="00267D16" w:rsidRPr="0019513D">
              <w:t>en</w:t>
            </w:r>
            <w:proofErr w:type="spellEnd"/>
            <w:r w:rsidR="00267D16" w:rsidRPr="0019513D">
              <w:t xml:space="preserve"> </w:t>
            </w:r>
            <w:proofErr w:type="spellStart"/>
            <w:r w:rsidR="00267D16" w:rsidRPr="0019513D">
              <w:t>s’assurant</w:t>
            </w:r>
            <w:proofErr w:type="spellEnd"/>
            <w:r w:rsidR="00267D16" w:rsidRPr="0019513D">
              <w:t xml:space="preserve"> de la </w:t>
            </w:r>
            <w:proofErr w:type="spellStart"/>
            <w:r w:rsidR="00267D16" w:rsidRPr="0019513D">
              <w:t>complémentarité</w:t>
            </w:r>
            <w:proofErr w:type="spellEnd"/>
            <w:r w:rsidR="00267D16" w:rsidRPr="0019513D">
              <w:t xml:space="preserve"> des </w:t>
            </w:r>
            <w:proofErr w:type="spellStart"/>
            <w:r w:rsidR="00267D16" w:rsidRPr="0019513D">
              <w:t>financements</w:t>
            </w:r>
            <w:proofErr w:type="spellEnd"/>
            <w:r w:rsidR="00267D16" w:rsidRPr="0019513D">
              <w:t>.</w:t>
            </w:r>
          </w:p>
          <w:p w14:paraId="62F64F1A" w14:textId="0F2C20A9" w:rsidR="00196B6F" w:rsidRPr="00196B6F" w:rsidRDefault="00196B6F" w:rsidP="0019513D">
            <w:pPr>
              <w:pStyle w:val="Texteformulaire"/>
            </w:pPr>
            <w:r>
              <w:t xml:space="preserve">Le </w:t>
            </w:r>
            <w:r w:rsidR="002B7FAB">
              <w:t>PNLS</w:t>
            </w:r>
            <w:r>
              <w:t xml:space="preserve"> </w:t>
            </w:r>
            <w:proofErr w:type="spellStart"/>
            <w:r w:rsidR="002B7FAB">
              <w:t>passera</w:t>
            </w:r>
            <w:proofErr w:type="spellEnd"/>
            <w:r w:rsidR="002B7FAB">
              <w:t xml:space="preserve"> </w:t>
            </w:r>
            <w:proofErr w:type="spellStart"/>
            <w:r w:rsidR="002B7FAB">
              <w:t>contrat</w:t>
            </w:r>
            <w:proofErr w:type="spellEnd"/>
            <w:r>
              <w:t xml:space="preserve"> </w:t>
            </w:r>
            <w:r w:rsidR="002B7FAB">
              <w:t xml:space="preserve">avec </w:t>
            </w:r>
            <w:r>
              <w:t xml:space="preserve">des </w:t>
            </w:r>
            <w:proofErr w:type="spellStart"/>
            <w:r w:rsidR="007232DB">
              <w:t>organisations</w:t>
            </w:r>
            <w:proofErr w:type="spellEnd"/>
            <w:r w:rsidR="007232DB">
              <w:t xml:space="preserve"> </w:t>
            </w:r>
            <w:proofErr w:type="spellStart"/>
            <w:r w:rsidR="007232DB">
              <w:t>prestataires</w:t>
            </w:r>
            <w:proofErr w:type="spellEnd"/>
            <w:r w:rsidR="007232DB">
              <w:t xml:space="preserve"> de services</w:t>
            </w:r>
            <w:r>
              <w:t xml:space="preserve"> pour la mise </w:t>
            </w:r>
            <w:proofErr w:type="spellStart"/>
            <w:r>
              <w:t>en</w:t>
            </w:r>
            <w:proofErr w:type="spellEnd"/>
            <w:r>
              <w:t xml:space="preserve"> </w:t>
            </w:r>
            <w:proofErr w:type="spellStart"/>
            <w:r>
              <w:t>œuvre</w:t>
            </w:r>
            <w:proofErr w:type="spellEnd"/>
            <w:r w:rsidR="001E5FE7">
              <w:t xml:space="preserve"> </w:t>
            </w:r>
            <w:proofErr w:type="spellStart"/>
            <w:r w:rsidR="001E5FE7">
              <w:t>d</w:t>
            </w:r>
            <w:r w:rsidR="007232DB">
              <w:t>’interventions</w:t>
            </w:r>
            <w:proofErr w:type="spellEnd"/>
            <w:r w:rsidR="007232DB">
              <w:t xml:space="preserve"> </w:t>
            </w:r>
            <w:proofErr w:type="spellStart"/>
            <w:r w:rsidR="007232DB">
              <w:t>spécifiques</w:t>
            </w:r>
            <w:proofErr w:type="spellEnd"/>
            <w:r w:rsidR="007232DB">
              <w:t xml:space="preserve"> </w:t>
            </w:r>
            <w:proofErr w:type="spellStart"/>
            <w:r w:rsidR="007232DB">
              <w:t>en</w:t>
            </w:r>
            <w:proofErr w:type="spellEnd"/>
            <w:r w:rsidR="007232DB">
              <w:t xml:space="preserve"> </w:t>
            </w:r>
            <w:proofErr w:type="spellStart"/>
            <w:r w:rsidR="007232DB">
              <w:t>cas</w:t>
            </w:r>
            <w:proofErr w:type="spellEnd"/>
            <w:r w:rsidR="007232DB">
              <w:t xml:space="preserve"> de </w:t>
            </w:r>
            <w:proofErr w:type="spellStart"/>
            <w:r w:rsidR="007232DB">
              <w:t>besoin</w:t>
            </w:r>
            <w:proofErr w:type="spellEnd"/>
            <w:r w:rsidR="007232DB">
              <w:t>.</w:t>
            </w:r>
          </w:p>
          <w:p w14:paraId="5F7D7C96" w14:textId="3E828198" w:rsidR="00267D16" w:rsidRPr="0019513D" w:rsidRDefault="007232DB" w:rsidP="004E7FC0">
            <w:pPr>
              <w:pStyle w:val="Texteformulaire"/>
              <w:rPr>
                <w:lang w:val="fr-FR"/>
              </w:rPr>
            </w:pPr>
            <w:r>
              <w:rPr>
                <w:lang w:val="fr-FR"/>
              </w:rPr>
              <w:t>L</w:t>
            </w:r>
            <w:r w:rsidR="00267D16" w:rsidRPr="0019513D">
              <w:rPr>
                <w:lang w:val="fr-FR"/>
              </w:rPr>
              <w:t>e PSN 2021-2025 dans sa mise en œuvre doit prendre en compte des éléments clés</w:t>
            </w:r>
            <w:r w:rsidR="004E7FC0" w:rsidRPr="0019513D">
              <w:rPr>
                <w:lang w:val="fr-FR"/>
              </w:rPr>
              <w:t>,</w:t>
            </w:r>
            <w:r w:rsidR="00267D16" w:rsidRPr="0019513D">
              <w:rPr>
                <w:lang w:val="fr-FR"/>
              </w:rPr>
              <w:t xml:space="preserve"> notamment </w:t>
            </w:r>
            <w:r w:rsidR="004E7FC0" w:rsidRPr="0019513D">
              <w:rPr>
                <w:lang w:val="fr-FR"/>
              </w:rPr>
              <w:t xml:space="preserve">: </w:t>
            </w:r>
            <w:r w:rsidR="00267D16" w:rsidRPr="0019513D">
              <w:rPr>
                <w:lang w:val="fr-FR"/>
              </w:rPr>
              <w:t xml:space="preserve">(i) </w:t>
            </w:r>
            <w:r w:rsidR="004E7FC0" w:rsidRPr="0019513D">
              <w:rPr>
                <w:lang w:val="fr-FR"/>
              </w:rPr>
              <w:t>l’i</w:t>
            </w:r>
            <w:r w:rsidR="00267D16" w:rsidRPr="0019513D">
              <w:rPr>
                <w:lang w:val="fr-FR"/>
              </w:rPr>
              <w:t>dentification des populations prioritaires</w:t>
            </w:r>
            <w:r w:rsidR="004E7FC0" w:rsidRPr="0019513D">
              <w:rPr>
                <w:lang w:val="fr-FR"/>
              </w:rPr>
              <w:t xml:space="preserve"> ;</w:t>
            </w:r>
            <w:r w:rsidR="00267D16" w:rsidRPr="0019513D">
              <w:rPr>
                <w:lang w:val="fr-FR"/>
              </w:rPr>
              <w:t xml:space="preserve"> (ii) </w:t>
            </w:r>
            <w:r w:rsidR="004E7FC0" w:rsidRPr="0019513D">
              <w:rPr>
                <w:lang w:val="fr-FR"/>
              </w:rPr>
              <w:t>l’i</w:t>
            </w:r>
            <w:r w:rsidR="00267D16" w:rsidRPr="0019513D">
              <w:rPr>
                <w:lang w:val="fr-FR"/>
              </w:rPr>
              <w:t>dentification de domaines prioritaires d’intervention</w:t>
            </w:r>
            <w:r w:rsidR="004E7FC0" w:rsidRPr="0019513D">
              <w:rPr>
                <w:lang w:val="fr-FR"/>
              </w:rPr>
              <w:t xml:space="preserve"> ;</w:t>
            </w:r>
            <w:r w:rsidR="00267D16" w:rsidRPr="0019513D">
              <w:rPr>
                <w:lang w:val="fr-FR"/>
              </w:rPr>
              <w:t xml:space="preserve"> </w:t>
            </w:r>
            <w:r w:rsidR="004E7FC0" w:rsidRPr="0019513D">
              <w:rPr>
                <w:lang w:val="fr-FR"/>
              </w:rPr>
              <w:t xml:space="preserve">et </w:t>
            </w:r>
            <w:r w:rsidR="00267D16" w:rsidRPr="0019513D">
              <w:rPr>
                <w:lang w:val="fr-FR"/>
              </w:rPr>
              <w:t xml:space="preserve">(iii) </w:t>
            </w:r>
            <w:r w:rsidR="004E7FC0" w:rsidRPr="0019513D">
              <w:rPr>
                <w:lang w:val="fr-FR"/>
              </w:rPr>
              <w:lastRenderedPageBreak/>
              <w:t>l’a</w:t>
            </w:r>
            <w:r w:rsidR="00267D16" w:rsidRPr="0019513D">
              <w:rPr>
                <w:lang w:val="fr-FR"/>
              </w:rPr>
              <w:t xml:space="preserve">pplication de critères de priorisation géographique prenant en compte les populations et les domaines programmatiques. </w:t>
            </w:r>
          </w:p>
          <w:p w14:paraId="5B1CC4A6" w14:textId="222C7A0B" w:rsidR="00267D16" w:rsidRPr="0019513D" w:rsidRDefault="00267D16" w:rsidP="004E7FC0">
            <w:pPr>
              <w:pStyle w:val="Texteformulaire"/>
              <w:rPr>
                <w:lang w:val="fr-FR"/>
              </w:rPr>
            </w:pPr>
            <w:r w:rsidRPr="0019513D">
              <w:rPr>
                <w:lang w:val="fr-FR"/>
              </w:rPr>
              <w:t xml:space="preserve">Ainsi </w:t>
            </w:r>
            <w:r w:rsidR="002B7FAB">
              <w:rPr>
                <w:lang w:val="fr-FR"/>
              </w:rPr>
              <w:t>l</w:t>
            </w:r>
            <w:r w:rsidRPr="0019513D">
              <w:rPr>
                <w:lang w:val="fr-FR"/>
              </w:rPr>
              <w:t xml:space="preserve">es interventions </w:t>
            </w:r>
            <w:r w:rsidR="002B7FAB">
              <w:rPr>
                <w:lang w:val="fr-FR"/>
              </w:rPr>
              <w:t>seront</w:t>
            </w:r>
            <w:r w:rsidR="00CF5013">
              <w:rPr>
                <w:lang w:val="fr-FR"/>
              </w:rPr>
              <w:t>-elles</w:t>
            </w:r>
            <w:r w:rsidR="002B7FAB">
              <w:rPr>
                <w:lang w:val="fr-FR"/>
              </w:rPr>
              <w:t xml:space="preserve"> </w:t>
            </w:r>
            <w:r w:rsidRPr="0019513D">
              <w:rPr>
                <w:lang w:val="fr-FR"/>
              </w:rPr>
              <w:t>axé</w:t>
            </w:r>
            <w:r w:rsidR="002B7FAB">
              <w:rPr>
                <w:lang w:val="fr-FR"/>
              </w:rPr>
              <w:t>e</w:t>
            </w:r>
            <w:r w:rsidRPr="0019513D">
              <w:rPr>
                <w:lang w:val="fr-FR"/>
              </w:rPr>
              <w:t>s sur les populations prioritaires (</w:t>
            </w:r>
            <w:r w:rsidR="002B7FAB">
              <w:rPr>
                <w:lang w:val="fr-FR"/>
              </w:rPr>
              <w:t>p</w:t>
            </w:r>
            <w:r w:rsidRPr="0019513D">
              <w:rPr>
                <w:lang w:val="fr-FR"/>
              </w:rPr>
              <w:t>opulations clés, populations vulnérables, les femmes enceintes, les adolescents et jeunes)</w:t>
            </w:r>
            <w:r w:rsidR="00CF5013">
              <w:rPr>
                <w:lang w:val="fr-FR"/>
              </w:rPr>
              <w:t xml:space="preserve"> </w:t>
            </w:r>
            <w:r w:rsidRPr="0019513D">
              <w:rPr>
                <w:lang w:val="fr-FR"/>
              </w:rPr>
              <w:t xml:space="preserve">et </w:t>
            </w:r>
            <w:r w:rsidR="00CF5013">
              <w:rPr>
                <w:lang w:val="fr-FR"/>
              </w:rPr>
              <w:t>les zones</w:t>
            </w:r>
            <w:r w:rsidRPr="0019513D">
              <w:rPr>
                <w:lang w:val="fr-FR"/>
              </w:rPr>
              <w:t xml:space="preserve"> géographiques </w:t>
            </w:r>
            <w:r w:rsidR="00CF5013">
              <w:rPr>
                <w:lang w:val="fr-FR"/>
              </w:rPr>
              <w:t>suivantes</w:t>
            </w:r>
            <w:r w:rsidRPr="0019513D">
              <w:rPr>
                <w:lang w:val="fr-FR"/>
              </w:rPr>
              <w:t xml:space="preserve"> : (i) </w:t>
            </w:r>
            <w:r w:rsidR="00CF5013">
              <w:rPr>
                <w:lang w:val="fr-FR"/>
              </w:rPr>
              <w:t xml:space="preserve">67 </w:t>
            </w:r>
            <w:r w:rsidR="00CF5013" w:rsidRPr="00697F67">
              <w:rPr>
                <w:lang w:val="fr-FR"/>
              </w:rPr>
              <w:t xml:space="preserve">districts sanitaires </w:t>
            </w:r>
            <w:r w:rsidR="00CF5013">
              <w:rPr>
                <w:lang w:val="fr-FR"/>
              </w:rPr>
              <w:t>pour la p</w:t>
            </w:r>
            <w:r w:rsidRPr="0019513D">
              <w:rPr>
                <w:lang w:val="fr-FR"/>
              </w:rPr>
              <w:t xml:space="preserve">révention </w:t>
            </w:r>
            <w:r w:rsidR="004E7FC0" w:rsidRPr="0019513D">
              <w:rPr>
                <w:lang w:val="fr-FR"/>
              </w:rPr>
              <w:t>;</w:t>
            </w:r>
            <w:r w:rsidRPr="0019513D">
              <w:rPr>
                <w:lang w:val="fr-FR"/>
              </w:rPr>
              <w:t xml:space="preserve"> (ii) </w:t>
            </w:r>
            <w:r w:rsidR="00CF5013" w:rsidRPr="004D7897">
              <w:rPr>
                <w:lang w:val="fr-FR"/>
              </w:rPr>
              <w:t>47 districts</w:t>
            </w:r>
            <w:r w:rsidR="00CF5013">
              <w:rPr>
                <w:lang w:val="fr-FR"/>
              </w:rPr>
              <w:t xml:space="preserve"> pour</w:t>
            </w:r>
            <w:r w:rsidR="00CF5013" w:rsidRPr="004D7897">
              <w:rPr>
                <w:lang w:val="fr-FR"/>
              </w:rPr>
              <w:t xml:space="preserve"> </w:t>
            </w:r>
            <w:r w:rsidRPr="0019513D">
              <w:rPr>
                <w:lang w:val="fr-FR"/>
              </w:rPr>
              <w:t xml:space="preserve">la PTME </w:t>
            </w:r>
            <w:r w:rsidR="004E7FC0" w:rsidRPr="0019513D">
              <w:rPr>
                <w:lang w:val="fr-FR"/>
              </w:rPr>
              <w:t>;</w:t>
            </w:r>
            <w:r w:rsidRPr="0019513D">
              <w:rPr>
                <w:lang w:val="fr-FR"/>
              </w:rPr>
              <w:t xml:space="preserve"> (iii) </w:t>
            </w:r>
            <w:r w:rsidR="00CF5013" w:rsidRPr="00C773EC">
              <w:rPr>
                <w:lang w:val="fr-FR"/>
              </w:rPr>
              <w:t xml:space="preserve">28 districts </w:t>
            </w:r>
            <w:r w:rsidR="00CF5013">
              <w:rPr>
                <w:lang w:val="fr-FR"/>
              </w:rPr>
              <w:t xml:space="preserve">pour </w:t>
            </w:r>
            <w:r w:rsidRPr="0019513D">
              <w:rPr>
                <w:lang w:val="fr-FR"/>
              </w:rPr>
              <w:t>le dépistage</w:t>
            </w:r>
            <w:r w:rsidR="00CF5013">
              <w:rPr>
                <w:lang w:val="fr-FR"/>
              </w:rPr>
              <w:t> ;</w:t>
            </w:r>
            <w:r w:rsidRPr="0019513D">
              <w:rPr>
                <w:lang w:val="fr-FR"/>
              </w:rPr>
              <w:t xml:space="preserve"> (iv) </w:t>
            </w:r>
            <w:r w:rsidR="00CF5013" w:rsidRPr="00766185">
              <w:rPr>
                <w:lang w:val="fr-FR"/>
              </w:rPr>
              <w:t>36 districts</w:t>
            </w:r>
            <w:r w:rsidR="00CF5013">
              <w:rPr>
                <w:lang w:val="fr-FR"/>
              </w:rPr>
              <w:t xml:space="preserve"> pour</w:t>
            </w:r>
            <w:r w:rsidR="00CF5013" w:rsidRPr="00766185">
              <w:rPr>
                <w:lang w:val="fr-FR"/>
              </w:rPr>
              <w:t xml:space="preserve"> </w:t>
            </w:r>
            <w:r w:rsidRPr="0019513D">
              <w:rPr>
                <w:lang w:val="fr-FR"/>
              </w:rPr>
              <w:t>le traitement ARV</w:t>
            </w:r>
            <w:r w:rsidR="00CF5013">
              <w:rPr>
                <w:lang w:val="fr-FR"/>
              </w:rPr>
              <w:t xml:space="preserve">, </w:t>
            </w:r>
            <w:r w:rsidRPr="0019513D">
              <w:rPr>
                <w:lang w:val="fr-FR"/>
              </w:rPr>
              <w:t>les soins et soutien</w:t>
            </w:r>
            <w:r w:rsidR="004E7FC0" w:rsidRPr="0019513D">
              <w:rPr>
                <w:lang w:val="fr-FR"/>
              </w:rPr>
              <w:t xml:space="preserve"> ;</w:t>
            </w:r>
            <w:r w:rsidRPr="0019513D">
              <w:rPr>
                <w:lang w:val="fr-FR"/>
              </w:rPr>
              <w:t xml:space="preserve"> (v) </w:t>
            </w:r>
            <w:r w:rsidR="00CF5013">
              <w:rPr>
                <w:lang w:val="fr-FR"/>
              </w:rPr>
              <w:t xml:space="preserve">l’échelle nationale pour la </w:t>
            </w:r>
            <w:r w:rsidRPr="0019513D">
              <w:rPr>
                <w:lang w:val="fr-FR"/>
              </w:rPr>
              <w:t>réduction de la stigmatisation et de la discrimination en lien avec le VIH</w:t>
            </w:r>
            <w:r w:rsidR="00CF5013">
              <w:rPr>
                <w:lang w:val="fr-FR"/>
              </w:rPr>
              <w:t xml:space="preserve"> (avec intensification sur les 6 DS ayant le plus fort taux de stigma et discrimination) </w:t>
            </w:r>
            <w:r w:rsidR="004E7FC0" w:rsidRPr="0019513D">
              <w:rPr>
                <w:lang w:val="fr-FR"/>
              </w:rPr>
              <w:t>;</w:t>
            </w:r>
            <w:r w:rsidRPr="0019513D">
              <w:rPr>
                <w:lang w:val="fr-FR"/>
              </w:rPr>
              <w:t xml:space="preserve"> (vi) </w:t>
            </w:r>
            <w:r w:rsidR="00CF5013">
              <w:rPr>
                <w:lang w:val="fr-FR"/>
              </w:rPr>
              <w:t xml:space="preserve">l’échelle nationale pour le </w:t>
            </w:r>
            <w:r w:rsidRPr="0019513D">
              <w:rPr>
                <w:lang w:val="fr-FR"/>
              </w:rPr>
              <w:t>renforcement de la gouvernance de la réponse.</w:t>
            </w:r>
          </w:p>
          <w:p w14:paraId="14C0C6B3" w14:textId="44DA0BEF" w:rsidR="00267D16" w:rsidRPr="0019513D" w:rsidRDefault="00CF5013" w:rsidP="004E7FC0">
            <w:pPr>
              <w:pStyle w:val="Texteformulaire"/>
              <w:rPr>
                <w:lang w:val="fr-FR"/>
              </w:rPr>
            </w:pPr>
            <w:r>
              <w:rPr>
                <w:lang w:val="fr-FR"/>
              </w:rPr>
              <w:t>P</w:t>
            </w:r>
            <w:r w:rsidR="00267D16" w:rsidRPr="0019513D">
              <w:rPr>
                <w:lang w:val="fr-FR"/>
              </w:rPr>
              <w:t xml:space="preserve">our l’appui direct aux </w:t>
            </w:r>
            <w:r>
              <w:rPr>
                <w:lang w:val="fr-FR"/>
              </w:rPr>
              <w:t>DS</w:t>
            </w:r>
            <w:r w:rsidRPr="0019513D">
              <w:rPr>
                <w:lang w:val="fr-FR"/>
              </w:rPr>
              <w:t xml:space="preserve"> </w:t>
            </w:r>
            <w:r w:rsidR="00267D16" w:rsidRPr="0019513D">
              <w:rPr>
                <w:lang w:val="fr-FR"/>
              </w:rPr>
              <w:t xml:space="preserve">non soutenus par le PEPFAR, les interventions viseront prioritairement l’ensemble des 36 districts (04 du Sud Comoé et 32 </w:t>
            </w:r>
            <w:r>
              <w:rPr>
                <w:lang w:val="fr-FR"/>
              </w:rPr>
              <w:t xml:space="preserve">autres DS </w:t>
            </w:r>
            <w:r w:rsidR="00267D16" w:rsidRPr="0019513D">
              <w:rPr>
                <w:lang w:val="fr-FR"/>
              </w:rPr>
              <w:t>issus du découpage des 23 districts non soutenus depuis 2018).</w:t>
            </w:r>
          </w:p>
          <w:p w14:paraId="1439188F" w14:textId="16AEB858" w:rsidR="00C833E8" w:rsidRDefault="00993AD8">
            <w:pPr>
              <w:pStyle w:val="Texteformulaire"/>
              <w:rPr>
                <w:lang w:val="fr-FR"/>
              </w:rPr>
            </w:pPr>
            <w:r>
              <w:rPr>
                <w:lang w:val="fr-FR"/>
              </w:rPr>
              <w:t>Du fait des difficultés rencontrées dans la mise en œuvre des interventions dans</w:t>
            </w:r>
            <w:r w:rsidR="00267D16" w:rsidRPr="0019513D">
              <w:rPr>
                <w:lang w:val="fr-FR"/>
              </w:rPr>
              <w:t xml:space="preserve"> les 4 districts du Sud Comoé</w:t>
            </w:r>
            <w:r>
              <w:rPr>
                <w:lang w:val="fr-FR"/>
              </w:rPr>
              <w:t>, l</w:t>
            </w:r>
            <w:r w:rsidR="00267D16" w:rsidRPr="0019513D">
              <w:rPr>
                <w:lang w:val="fr-FR"/>
              </w:rPr>
              <w:t xml:space="preserve">e </w:t>
            </w:r>
            <w:r w:rsidR="00603FAD">
              <w:rPr>
                <w:lang w:val="fr-FR"/>
              </w:rPr>
              <w:t>PNLS</w:t>
            </w:r>
            <w:r w:rsidR="00267D16" w:rsidRPr="0019513D">
              <w:rPr>
                <w:lang w:val="fr-FR"/>
              </w:rPr>
              <w:t xml:space="preserve"> </w:t>
            </w:r>
            <w:r>
              <w:rPr>
                <w:lang w:val="fr-FR"/>
              </w:rPr>
              <w:t>va</w:t>
            </w:r>
            <w:r w:rsidR="00267D16" w:rsidRPr="0019513D">
              <w:rPr>
                <w:lang w:val="fr-FR"/>
              </w:rPr>
              <w:t xml:space="preserve"> réviser son modèle d’assistance d’appui</w:t>
            </w:r>
            <w:r>
              <w:rPr>
                <w:lang w:val="fr-FR"/>
              </w:rPr>
              <w:t xml:space="preserve"> en mettant </w:t>
            </w:r>
            <w:r w:rsidR="00267D16" w:rsidRPr="0019513D">
              <w:rPr>
                <w:lang w:val="fr-FR"/>
              </w:rPr>
              <w:t xml:space="preserve">en place des équipes techniques </w:t>
            </w:r>
            <w:r>
              <w:rPr>
                <w:lang w:val="fr-FR"/>
              </w:rPr>
              <w:t>d’</w:t>
            </w:r>
            <w:r w:rsidR="00267D16" w:rsidRPr="0019513D">
              <w:rPr>
                <w:lang w:val="fr-FR"/>
              </w:rPr>
              <w:t xml:space="preserve">appui aux </w:t>
            </w:r>
            <w:r>
              <w:rPr>
                <w:lang w:val="fr-FR"/>
              </w:rPr>
              <w:t>DS</w:t>
            </w:r>
            <w:r w:rsidR="00267D16" w:rsidRPr="0019513D">
              <w:rPr>
                <w:lang w:val="fr-FR"/>
              </w:rPr>
              <w:t xml:space="preserve"> non soutenus par le PEPFAR.</w:t>
            </w:r>
            <w:r>
              <w:rPr>
                <w:lang w:val="fr-FR"/>
              </w:rPr>
              <w:t xml:space="preserve"> </w:t>
            </w:r>
          </w:p>
          <w:p w14:paraId="31D19D88" w14:textId="536AA370" w:rsidR="00267D16" w:rsidRPr="0019513D" w:rsidRDefault="00993AD8" w:rsidP="0019513D">
            <w:pPr>
              <w:pStyle w:val="Texteformulaire"/>
            </w:pPr>
            <w:r>
              <w:rPr>
                <w:lang w:val="fr-FR"/>
              </w:rPr>
              <w:t xml:space="preserve">Il s’agit de </w:t>
            </w:r>
            <w:r w:rsidR="00267D16" w:rsidRPr="0019513D">
              <w:t>: (</w:t>
            </w:r>
            <w:proofErr w:type="spellStart"/>
            <w:r w:rsidR="00267D16" w:rsidRPr="0019513D">
              <w:t>i</w:t>
            </w:r>
            <w:proofErr w:type="spellEnd"/>
            <w:r w:rsidR="00267D16" w:rsidRPr="0019513D">
              <w:t xml:space="preserve">) </w:t>
            </w:r>
            <w:proofErr w:type="spellStart"/>
            <w:r>
              <w:t>R</w:t>
            </w:r>
            <w:r w:rsidR="00267D16" w:rsidRPr="0019513D">
              <w:t>enforcer</w:t>
            </w:r>
            <w:proofErr w:type="spellEnd"/>
            <w:r w:rsidR="00267D16" w:rsidRPr="0019513D">
              <w:t xml:space="preserve"> </w:t>
            </w:r>
            <w:proofErr w:type="spellStart"/>
            <w:r w:rsidR="00267D16" w:rsidRPr="0019513D">
              <w:t>l’intégration</w:t>
            </w:r>
            <w:proofErr w:type="spellEnd"/>
            <w:r w:rsidR="00267D16" w:rsidRPr="0019513D">
              <w:t xml:space="preserve"> des interventions VIH et de </w:t>
            </w:r>
            <w:proofErr w:type="spellStart"/>
            <w:r w:rsidR="00267D16" w:rsidRPr="0019513D">
              <w:t>lutte</w:t>
            </w:r>
            <w:proofErr w:type="spellEnd"/>
            <w:r w:rsidR="00267D16" w:rsidRPr="0019513D">
              <w:t xml:space="preserve"> </w:t>
            </w:r>
            <w:proofErr w:type="spellStart"/>
            <w:r w:rsidR="00267D16" w:rsidRPr="0019513D">
              <w:t>conjointe</w:t>
            </w:r>
            <w:proofErr w:type="spellEnd"/>
            <w:r w:rsidR="00267D16" w:rsidRPr="0019513D">
              <w:t xml:space="preserve"> TB/VIH </w:t>
            </w:r>
            <w:proofErr w:type="spellStart"/>
            <w:r w:rsidR="00267D16" w:rsidRPr="0019513D">
              <w:t>en</w:t>
            </w:r>
            <w:proofErr w:type="spellEnd"/>
            <w:r w:rsidR="00267D16" w:rsidRPr="0019513D">
              <w:t xml:space="preserve"> </w:t>
            </w:r>
            <w:proofErr w:type="spellStart"/>
            <w:r w:rsidR="00267D16" w:rsidRPr="0019513D">
              <w:t>assurant</w:t>
            </w:r>
            <w:proofErr w:type="spellEnd"/>
            <w:r w:rsidR="00267D16" w:rsidRPr="0019513D">
              <w:t xml:space="preserve"> la mise </w:t>
            </w:r>
            <w:proofErr w:type="spellStart"/>
            <w:r w:rsidR="00267D16" w:rsidRPr="0019513D">
              <w:t>en</w:t>
            </w:r>
            <w:proofErr w:type="spellEnd"/>
            <w:r w:rsidR="00267D16" w:rsidRPr="0019513D">
              <w:t xml:space="preserve"> </w:t>
            </w:r>
            <w:proofErr w:type="spellStart"/>
            <w:r w:rsidR="00267D16" w:rsidRPr="0019513D">
              <w:t>œuvre</w:t>
            </w:r>
            <w:proofErr w:type="spellEnd"/>
            <w:r w:rsidR="00267D16" w:rsidRPr="0019513D">
              <w:t xml:space="preserve"> effective des </w:t>
            </w:r>
            <w:proofErr w:type="spellStart"/>
            <w:r w:rsidR="00267D16" w:rsidRPr="0019513D">
              <w:t>stratégies</w:t>
            </w:r>
            <w:proofErr w:type="spellEnd"/>
            <w:r w:rsidR="00267D16" w:rsidRPr="0019513D">
              <w:t xml:space="preserve"> </w:t>
            </w:r>
            <w:proofErr w:type="spellStart"/>
            <w:r w:rsidR="00267D16" w:rsidRPr="0019513D">
              <w:t>innovantes</w:t>
            </w:r>
            <w:proofErr w:type="spellEnd"/>
            <w:r w:rsidR="00267D16" w:rsidRPr="0019513D">
              <w:t xml:space="preserve"> (</w:t>
            </w:r>
            <w:proofErr w:type="spellStart"/>
            <w:r>
              <w:t>s</w:t>
            </w:r>
            <w:r w:rsidR="00267D16" w:rsidRPr="0019513D">
              <w:t>oins</w:t>
            </w:r>
            <w:proofErr w:type="spellEnd"/>
            <w:r w:rsidR="00267D16" w:rsidRPr="0019513D">
              <w:t xml:space="preserve"> </w:t>
            </w:r>
            <w:proofErr w:type="spellStart"/>
            <w:r w:rsidR="00267D16" w:rsidRPr="0019513D">
              <w:t>différenciés</w:t>
            </w:r>
            <w:proofErr w:type="spellEnd"/>
            <w:r w:rsidR="00267D16" w:rsidRPr="0019513D">
              <w:t xml:space="preserve">, index testing, ETP) au </w:t>
            </w:r>
            <w:proofErr w:type="spellStart"/>
            <w:r w:rsidR="00267D16" w:rsidRPr="0019513D">
              <w:t>niveau</w:t>
            </w:r>
            <w:proofErr w:type="spellEnd"/>
            <w:r w:rsidR="00267D16" w:rsidRPr="0019513D">
              <w:t xml:space="preserve"> des structures de PEC VIH des 4 </w:t>
            </w:r>
            <w:r>
              <w:t>DS</w:t>
            </w:r>
            <w:r w:rsidRPr="0019513D">
              <w:t xml:space="preserve"> </w:t>
            </w:r>
            <w:r w:rsidR="00267D16" w:rsidRPr="0019513D">
              <w:t xml:space="preserve">du Sud </w:t>
            </w:r>
            <w:proofErr w:type="spellStart"/>
            <w:r w:rsidR="00267D16" w:rsidRPr="0019513D">
              <w:t>Comoé</w:t>
            </w:r>
            <w:proofErr w:type="spellEnd"/>
            <w:r w:rsidR="00267D16" w:rsidRPr="0019513D">
              <w:t xml:space="preserve"> et des 32 </w:t>
            </w:r>
            <w:r>
              <w:t>DS</w:t>
            </w:r>
            <w:r w:rsidRPr="0019513D">
              <w:t xml:space="preserve"> </w:t>
            </w:r>
            <w:r>
              <w:t xml:space="preserve">non </w:t>
            </w:r>
            <w:proofErr w:type="spellStart"/>
            <w:r>
              <w:t>soutenus</w:t>
            </w:r>
            <w:proofErr w:type="spellEnd"/>
            <w:r>
              <w:t xml:space="preserve"> par</w:t>
            </w:r>
            <w:r w:rsidR="00267D16" w:rsidRPr="0019513D">
              <w:t xml:space="preserve"> PEPFAR</w:t>
            </w:r>
            <w:r>
              <w:t xml:space="preserve"> </w:t>
            </w:r>
            <w:r w:rsidR="00267D16" w:rsidRPr="0019513D">
              <w:t xml:space="preserve">; (ii) Assurer </w:t>
            </w:r>
            <w:proofErr w:type="spellStart"/>
            <w:r w:rsidR="00267D16" w:rsidRPr="0019513D">
              <w:t>une</w:t>
            </w:r>
            <w:proofErr w:type="spellEnd"/>
            <w:r w:rsidR="00267D16" w:rsidRPr="0019513D">
              <w:t xml:space="preserve"> appropriation des </w:t>
            </w:r>
            <w:proofErr w:type="spellStart"/>
            <w:r w:rsidR="00267D16" w:rsidRPr="0019513D">
              <w:t>activités</w:t>
            </w:r>
            <w:proofErr w:type="spellEnd"/>
            <w:r w:rsidR="00267D16" w:rsidRPr="0019513D">
              <w:t xml:space="preserve"> VIH par les </w:t>
            </w:r>
            <w:r>
              <w:t>DS</w:t>
            </w:r>
            <w:r w:rsidRPr="0019513D">
              <w:t xml:space="preserve"> </w:t>
            </w:r>
            <w:proofErr w:type="spellStart"/>
            <w:r w:rsidR="00267D16" w:rsidRPr="0019513D">
              <w:t>soutenus</w:t>
            </w:r>
            <w:proofErr w:type="spellEnd"/>
            <w:r w:rsidR="00267D16" w:rsidRPr="0019513D">
              <w:t xml:space="preserve"> à travers </w:t>
            </w:r>
            <w:proofErr w:type="spellStart"/>
            <w:r w:rsidR="00267D16" w:rsidRPr="0019513D">
              <w:t>une</w:t>
            </w:r>
            <w:proofErr w:type="spellEnd"/>
            <w:r w:rsidR="00267D16" w:rsidRPr="0019513D">
              <w:t xml:space="preserve"> collaboration </w:t>
            </w:r>
            <w:proofErr w:type="spellStart"/>
            <w:r w:rsidR="00267D16" w:rsidRPr="0019513D">
              <w:t>étroite</w:t>
            </w:r>
            <w:proofErr w:type="spellEnd"/>
            <w:r w:rsidR="00267D16" w:rsidRPr="0019513D">
              <w:t xml:space="preserve"> et continue ;</w:t>
            </w:r>
            <w:r>
              <w:t xml:space="preserve"> </w:t>
            </w:r>
            <w:r w:rsidR="00267D16" w:rsidRPr="0019513D">
              <w:t xml:space="preserve">(iii) </w:t>
            </w:r>
            <w:proofErr w:type="spellStart"/>
            <w:r>
              <w:t>F</w:t>
            </w:r>
            <w:r w:rsidR="00267D16" w:rsidRPr="0019513D">
              <w:t>aciliter</w:t>
            </w:r>
            <w:proofErr w:type="spellEnd"/>
            <w:r w:rsidR="00267D16" w:rsidRPr="0019513D">
              <w:t xml:space="preserve"> la planification et la mise </w:t>
            </w:r>
            <w:proofErr w:type="spellStart"/>
            <w:r w:rsidR="00267D16" w:rsidRPr="0019513D">
              <w:t>en</w:t>
            </w:r>
            <w:proofErr w:type="spellEnd"/>
            <w:r w:rsidR="00267D16" w:rsidRPr="0019513D">
              <w:t xml:space="preserve"> </w:t>
            </w:r>
            <w:proofErr w:type="spellStart"/>
            <w:r w:rsidR="00267D16" w:rsidRPr="0019513D">
              <w:t>œuvre</w:t>
            </w:r>
            <w:proofErr w:type="spellEnd"/>
            <w:r w:rsidR="00267D16" w:rsidRPr="0019513D">
              <w:t xml:space="preserve"> des </w:t>
            </w:r>
            <w:proofErr w:type="spellStart"/>
            <w:r w:rsidR="00267D16" w:rsidRPr="0019513D">
              <w:t>activités</w:t>
            </w:r>
            <w:proofErr w:type="spellEnd"/>
            <w:r w:rsidR="00267D16" w:rsidRPr="0019513D">
              <w:t xml:space="preserve"> à travers </w:t>
            </w:r>
            <w:proofErr w:type="spellStart"/>
            <w:r w:rsidR="00267D16" w:rsidRPr="0019513D">
              <w:t>une</w:t>
            </w:r>
            <w:proofErr w:type="spellEnd"/>
            <w:r w:rsidR="00267D16" w:rsidRPr="0019513D">
              <w:t xml:space="preserve"> </w:t>
            </w:r>
            <w:proofErr w:type="spellStart"/>
            <w:r w:rsidR="00267D16" w:rsidRPr="0019513D">
              <w:t>équipe</w:t>
            </w:r>
            <w:proofErr w:type="spellEnd"/>
            <w:r w:rsidR="00267D16" w:rsidRPr="0019513D">
              <w:t xml:space="preserve"> locale </w:t>
            </w:r>
            <w:proofErr w:type="spellStart"/>
            <w:r w:rsidR="00267D16" w:rsidRPr="0019513D">
              <w:t>dédiée</w:t>
            </w:r>
            <w:proofErr w:type="spellEnd"/>
            <w:r w:rsidR="00267D16" w:rsidRPr="0019513D">
              <w:t xml:space="preserve"> ; (iv) </w:t>
            </w:r>
            <w:proofErr w:type="spellStart"/>
            <w:r>
              <w:t>A</w:t>
            </w:r>
            <w:r w:rsidR="00267D16" w:rsidRPr="0019513D">
              <w:t>méliorer</w:t>
            </w:r>
            <w:proofErr w:type="spellEnd"/>
            <w:r w:rsidR="00267D16" w:rsidRPr="0019513D">
              <w:t xml:space="preserve"> </w:t>
            </w:r>
            <w:proofErr w:type="spellStart"/>
            <w:r w:rsidR="00267D16" w:rsidRPr="0019513D">
              <w:t>l’impact</w:t>
            </w:r>
            <w:proofErr w:type="spellEnd"/>
            <w:r w:rsidR="00267D16" w:rsidRPr="0019513D">
              <w:t xml:space="preserve"> des interventions mises </w:t>
            </w:r>
            <w:proofErr w:type="spellStart"/>
            <w:r w:rsidR="00267D16" w:rsidRPr="0019513D">
              <w:t>en</w:t>
            </w:r>
            <w:proofErr w:type="spellEnd"/>
            <w:r w:rsidR="00267D16" w:rsidRPr="0019513D">
              <w:t xml:space="preserve"> </w:t>
            </w:r>
            <w:proofErr w:type="spellStart"/>
            <w:r w:rsidR="00267D16" w:rsidRPr="0019513D">
              <w:t>œuvre</w:t>
            </w:r>
            <w:proofErr w:type="spellEnd"/>
            <w:r w:rsidR="00267D16" w:rsidRPr="0019513D">
              <w:t xml:space="preserve"> dans le cadre de la NFM3 avec </w:t>
            </w:r>
            <w:proofErr w:type="spellStart"/>
            <w:r w:rsidR="00267D16" w:rsidRPr="0019513D">
              <w:t>une</w:t>
            </w:r>
            <w:proofErr w:type="spellEnd"/>
            <w:r w:rsidR="00267D16" w:rsidRPr="0019513D">
              <w:t xml:space="preserve"> </w:t>
            </w:r>
            <w:proofErr w:type="spellStart"/>
            <w:r w:rsidR="00267D16" w:rsidRPr="0019513D">
              <w:t>équipe</w:t>
            </w:r>
            <w:proofErr w:type="spellEnd"/>
            <w:r w:rsidR="00C833E8">
              <w:t xml:space="preserve"> </w:t>
            </w:r>
            <w:proofErr w:type="spellStart"/>
            <w:r w:rsidR="00C833E8">
              <w:t>d’experts</w:t>
            </w:r>
            <w:proofErr w:type="spellEnd"/>
            <w:r w:rsidR="00267D16" w:rsidRPr="0019513D">
              <w:t xml:space="preserve"> </w:t>
            </w:r>
            <w:proofErr w:type="spellStart"/>
            <w:r w:rsidR="00267D16" w:rsidRPr="0019513D">
              <w:t>ayant</w:t>
            </w:r>
            <w:proofErr w:type="spellEnd"/>
            <w:r w:rsidR="00267D16" w:rsidRPr="0019513D">
              <w:t xml:space="preserve"> </w:t>
            </w:r>
            <w:proofErr w:type="spellStart"/>
            <w:r w:rsidR="00267D16" w:rsidRPr="0019513D">
              <w:t>une</w:t>
            </w:r>
            <w:proofErr w:type="spellEnd"/>
            <w:r w:rsidR="00267D16" w:rsidRPr="0019513D">
              <w:t xml:space="preserve"> obligation de </w:t>
            </w:r>
            <w:proofErr w:type="spellStart"/>
            <w:r w:rsidR="00267D16" w:rsidRPr="0019513D">
              <w:t>résultats</w:t>
            </w:r>
            <w:proofErr w:type="spellEnd"/>
            <w:r w:rsidR="00267D16" w:rsidRPr="0019513D">
              <w:t>.</w:t>
            </w:r>
          </w:p>
          <w:p w14:paraId="68313141" w14:textId="77777777" w:rsidR="005D5C5E" w:rsidRPr="00B071AD" w:rsidRDefault="005D5C5E" w:rsidP="0019513D">
            <w:pPr>
              <w:pStyle w:val="Texteformulaire"/>
              <w:rPr>
                <w:color w:val="FF0000"/>
              </w:rPr>
            </w:pPr>
            <w:r w:rsidRPr="00B071AD">
              <w:rPr>
                <w:color w:val="FF0000"/>
              </w:rPr>
              <w:t xml:space="preserve">Pour </w:t>
            </w:r>
            <w:proofErr w:type="spellStart"/>
            <w:r w:rsidRPr="00B071AD">
              <w:rPr>
                <w:color w:val="FF0000"/>
              </w:rPr>
              <w:t>permettre</w:t>
            </w:r>
            <w:proofErr w:type="spellEnd"/>
            <w:r w:rsidRPr="00B071AD">
              <w:rPr>
                <w:color w:val="FF0000"/>
              </w:rPr>
              <w:t xml:space="preserve"> la mise </w:t>
            </w:r>
            <w:proofErr w:type="spellStart"/>
            <w:r w:rsidRPr="00B071AD">
              <w:rPr>
                <w:color w:val="FF0000"/>
              </w:rPr>
              <w:t>en</w:t>
            </w:r>
            <w:proofErr w:type="spellEnd"/>
            <w:r w:rsidRPr="00B071AD">
              <w:rPr>
                <w:color w:val="FF0000"/>
              </w:rPr>
              <w:t xml:space="preserve"> oeuvre de </w:t>
            </w:r>
            <w:proofErr w:type="spellStart"/>
            <w:r w:rsidRPr="00B071AD">
              <w:rPr>
                <w:color w:val="FF0000"/>
              </w:rPr>
              <w:t>cette</w:t>
            </w:r>
            <w:proofErr w:type="spellEnd"/>
            <w:r w:rsidRPr="00B071AD">
              <w:rPr>
                <w:color w:val="FF0000"/>
              </w:rPr>
              <w:t xml:space="preserve"> subvention, le PNLS </w:t>
            </w:r>
            <w:proofErr w:type="spellStart"/>
            <w:r w:rsidRPr="00B071AD">
              <w:rPr>
                <w:color w:val="FF0000"/>
              </w:rPr>
              <w:t>recrutera</w:t>
            </w:r>
            <w:proofErr w:type="spellEnd"/>
            <w:r w:rsidRPr="00B071AD">
              <w:rPr>
                <w:color w:val="FF0000"/>
              </w:rPr>
              <w:t xml:space="preserve"> </w:t>
            </w:r>
            <w:proofErr w:type="spellStart"/>
            <w:r w:rsidRPr="00B071AD">
              <w:rPr>
                <w:color w:val="FF0000"/>
              </w:rPr>
              <w:t>une</w:t>
            </w:r>
            <w:proofErr w:type="spellEnd"/>
            <w:r w:rsidRPr="00B071AD">
              <w:rPr>
                <w:color w:val="FF0000"/>
              </w:rPr>
              <w:t xml:space="preserve"> </w:t>
            </w:r>
            <w:proofErr w:type="spellStart"/>
            <w:r w:rsidRPr="00B071AD">
              <w:rPr>
                <w:color w:val="FF0000"/>
              </w:rPr>
              <w:t>équipe</w:t>
            </w:r>
            <w:proofErr w:type="spellEnd"/>
            <w:r w:rsidRPr="00B071AD">
              <w:rPr>
                <w:color w:val="FF0000"/>
              </w:rPr>
              <w:t xml:space="preserve"> </w:t>
            </w:r>
            <w:proofErr w:type="spellStart"/>
            <w:r w:rsidRPr="00B071AD">
              <w:rPr>
                <w:color w:val="FF0000"/>
              </w:rPr>
              <w:t>additionnelle</w:t>
            </w:r>
            <w:proofErr w:type="spellEnd"/>
            <w:r w:rsidRPr="00B071AD">
              <w:rPr>
                <w:color w:val="FF0000"/>
              </w:rPr>
              <w:t xml:space="preserve"> </w:t>
            </w:r>
            <w:proofErr w:type="spellStart"/>
            <w:r w:rsidRPr="00B071AD">
              <w:rPr>
                <w:color w:val="FF0000"/>
              </w:rPr>
              <w:t>composée</w:t>
            </w:r>
            <w:proofErr w:type="spellEnd"/>
            <w:r w:rsidRPr="00B071AD">
              <w:rPr>
                <w:color w:val="FF0000"/>
              </w:rPr>
              <w:t xml:space="preserve"> </w:t>
            </w:r>
            <w:proofErr w:type="gramStart"/>
            <w:r w:rsidRPr="00B071AD">
              <w:rPr>
                <w:color w:val="FF0000"/>
              </w:rPr>
              <w:t>de :</w:t>
            </w:r>
            <w:proofErr w:type="gramEnd"/>
          </w:p>
          <w:p w14:paraId="4D8AB703" w14:textId="036EC0A6" w:rsidR="005D5C5E" w:rsidRPr="00B071AD" w:rsidRDefault="005D5C5E" w:rsidP="005D5C5E">
            <w:pPr>
              <w:pStyle w:val="liste1"/>
              <w:rPr>
                <w:color w:val="FF0000"/>
              </w:rPr>
            </w:pPr>
            <w:r w:rsidRPr="00B071AD">
              <w:rPr>
                <w:color w:val="FF0000"/>
              </w:rPr>
              <w:t>1</w:t>
            </w:r>
            <w:r w:rsidR="00267D16" w:rsidRPr="00B071AD">
              <w:rPr>
                <w:color w:val="FF0000"/>
              </w:rPr>
              <w:t xml:space="preserve"> coordonnateur technique </w:t>
            </w:r>
            <w:r w:rsidR="00C833E8" w:rsidRPr="00B071AD">
              <w:rPr>
                <w:color w:val="FF0000"/>
              </w:rPr>
              <w:t xml:space="preserve">national, </w:t>
            </w:r>
            <w:r w:rsidR="00267D16" w:rsidRPr="00B071AD">
              <w:rPr>
                <w:color w:val="FF0000"/>
              </w:rPr>
              <w:t>qui fera office de directeur du projet d’assistance aux districts accompagnés par le PR public</w:t>
            </w:r>
          </w:p>
          <w:p w14:paraId="642350AE" w14:textId="5D7578BB" w:rsidR="00267D16" w:rsidRDefault="005D5C5E" w:rsidP="005D5C5E">
            <w:pPr>
              <w:pStyle w:val="liste1"/>
              <w:rPr>
                <w:color w:val="FF0000"/>
              </w:rPr>
            </w:pPr>
            <w:r w:rsidRPr="00B071AD">
              <w:rPr>
                <w:color w:val="FF0000"/>
              </w:rPr>
              <w:t>4 équipes régionales de 2 assistants de programme + 1 chauffeur</w:t>
            </w:r>
            <w:r w:rsidR="00D5528E" w:rsidRPr="00B071AD">
              <w:rPr>
                <w:color w:val="FF0000"/>
              </w:rPr>
              <w:t>, positionnées</w:t>
            </w:r>
            <w:r w:rsidRPr="00B071AD">
              <w:rPr>
                <w:color w:val="FF0000"/>
              </w:rPr>
              <w:t xml:space="preserve"> dans </w:t>
            </w:r>
            <w:r w:rsidR="00D5528E" w:rsidRPr="00B071AD">
              <w:rPr>
                <w:color w:val="FF0000"/>
              </w:rPr>
              <w:t>les DR d</w:t>
            </w:r>
            <w:r w:rsidRPr="00B071AD">
              <w:rPr>
                <w:color w:val="FF0000"/>
              </w:rPr>
              <w:t xml:space="preserve">es régions </w:t>
            </w:r>
            <w:r w:rsidR="00D5528E" w:rsidRPr="00B071AD">
              <w:rPr>
                <w:color w:val="FF0000"/>
              </w:rPr>
              <w:t>Sud Comoé (Aboisso)</w:t>
            </w:r>
            <w:r w:rsidRPr="00B071AD">
              <w:rPr>
                <w:color w:val="FF0000"/>
              </w:rPr>
              <w:t xml:space="preserve">, </w:t>
            </w:r>
            <w:proofErr w:type="spellStart"/>
            <w:r w:rsidR="00D5528E" w:rsidRPr="00B071AD">
              <w:rPr>
                <w:color w:val="FF0000"/>
              </w:rPr>
              <w:t>Tonkpi</w:t>
            </w:r>
            <w:proofErr w:type="spellEnd"/>
            <w:r w:rsidR="00D5528E" w:rsidRPr="00B071AD">
              <w:rPr>
                <w:color w:val="FF0000"/>
              </w:rPr>
              <w:t xml:space="preserve"> (</w:t>
            </w:r>
            <w:proofErr w:type="spellStart"/>
            <w:r w:rsidRPr="00B071AD">
              <w:rPr>
                <w:color w:val="FF0000"/>
              </w:rPr>
              <w:t>Duékoué</w:t>
            </w:r>
            <w:proofErr w:type="spellEnd"/>
            <w:r w:rsidR="00D5528E" w:rsidRPr="00B071AD">
              <w:rPr>
                <w:color w:val="FF0000"/>
              </w:rPr>
              <w:t xml:space="preserve">), </w:t>
            </w:r>
            <w:proofErr w:type="spellStart"/>
            <w:r w:rsidR="00D5528E" w:rsidRPr="00B071AD">
              <w:rPr>
                <w:color w:val="FF0000"/>
              </w:rPr>
              <w:t>Gboklé</w:t>
            </w:r>
            <w:proofErr w:type="spellEnd"/>
            <w:r w:rsidR="00D5528E" w:rsidRPr="00B071AD">
              <w:rPr>
                <w:color w:val="FF0000"/>
              </w:rPr>
              <w:t xml:space="preserve"> (Soubré) et</w:t>
            </w:r>
            <w:r w:rsidRPr="00B071AD">
              <w:rPr>
                <w:color w:val="FF0000"/>
              </w:rPr>
              <w:t xml:space="preserve"> </w:t>
            </w:r>
            <w:r w:rsidR="00D5528E" w:rsidRPr="00B071AD">
              <w:rPr>
                <w:color w:val="FF0000"/>
              </w:rPr>
              <w:t>Loh-</w:t>
            </w:r>
            <w:proofErr w:type="spellStart"/>
            <w:r w:rsidR="00D5528E" w:rsidRPr="00B071AD">
              <w:rPr>
                <w:color w:val="FF0000"/>
              </w:rPr>
              <w:t>Djiboua</w:t>
            </w:r>
            <w:proofErr w:type="spellEnd"/>
            <w:r w:rsidR="00D5528E" w:rsidRPr="00B071AD">
              <w:rPr>
                <w:color w:val="FF0000"/>
              </w:rPr>
              <w:t xml:space="preserve"> (</w:t>
            </w:r>
            <w:r w:rsidRPr="00B071AD">
              <w:rPr>
                <w:color w:val="FF0000"/>
              </w:rPr>
              <w:t>Divo</w:t>
            </w:r>
            <w:r w:rsidR="00D5528E" w:rsidRPr="00B071AD">
              <w:rPr>
                <w:color w:val="FF0000"/>
              </w:rPr>
              <w:t xml:space="preserve">), qui apporteront une assistance technique </w:t>
            </w:r>
            <w:r w:rsidR="004A626D" w:rsidRPr="00B071AD">
              <w:rPr>
                <w:color w:val="FF0000"/>
              </w:rPr>
              <w:t xml:space="preserve">aux sites à forte files actives </w:t>
            </w:r>
            <w:r w:rsidR="00D5528E" w:rsidRPr="00B071AD">
              <w:rPr>
                <w:color w:val="FF0000"/>
              </w:rPr>
              <w:t>dans l’ensemble des DS prioritaires soutenus par le FM</w:t>
            </w:r>
          </w:p>
          <w:p w14:paraId="7EA5930B" w14:textId="04D66212" w:rsidR="001F36AD" w:rsidRPr="00B071AD" w:rsidRDefault="001F36AD" w:rsidP="005D5C5E">
            <w:pPr>
              <w:pStyle w:val="liste1"/>
              <w:rPr>
                <w:color w:val="FF0000"/>
              </w:rPr>
            </w:pPr>
            <w:r>
              <w:rPr>
                <w:color w:val="FF0000"/>
              </w:rPr>
              <w:t>1 comptable additionnel</w:t>
            </w:r>
          </w:p>
          <w:p w14:paraId="3DF894FE" w14:textId="102386C8" w:rsidR="004A626D" w:rsidRPr="00B071AD" w:rsidRDefault="00267D16" w:rsidP="005D5C5E">
            <w:pPr>
              <w:pStyle w:val="Texteformulaire"/>
              <w:rPr>
                <w:color w:val="FF0000"/>
              </w:rPr>
            </w:pPr>
            <w:r w:rsidRPr="00B071AD">
              <w:rPr>
                <w:color w:val="FF0000"/>
              </w:rPr>
              <w:t xml:space="preserve">Les </w:t>
            </w:r>
            <w:proofErr w:type="spellStart"/>
            <w:r w:rsidRPr="00B071AD">
              <w:rPr>
                <w:color w:val="FF0000"/>
              </w:rPr>
              <w:t>équipes</w:t>
            </w:r>
            <w:proofErr w:type="spellEnd"/>
            <w:r w:rsidRPr="00B071AD">
              <w:rPr>
                <w:color w:val="FF0000"/>
              </w:rPr>
              <w:t xml:space="preserve"> </w:t>
            </w:r>
            <w:proofErr w:type="spellStart"/>
            <w:r w:rsidR="00D5528E" w:rsidRPr="00B071AD">
              <w:rPr>
                <w:color w:val="FF0000"/>
              </w:rPr>
              <w:t>régionales</w:t>
            </w:r>
            <w:proofErr w:type="spellEnd"/>
            <w:r w:rsidRPr="00B071AD">
              <w:rPr>
                <w:color w:val="FF0000"/>
              </w:rPr>
              <w:t xml:space="preserve"> </w:t>
            </w:r>
            <w:proofErr w:type="spellStart"/>
            <w:r w:rsidRPr="00B071AD">
              <w:rPr>
                <w:color w:val="FF0000"/>
              </w:rPr>
              <w:t>assureront</w:t>
            </w:r>
            <w:proofErr w:type="spellEnd"/>
            <w:r w:rsidRPr="00B071AD">
              <w:rPr>
                <w:color w:val="FF0000"/>
              </w:rPr>
              <w:t xml:space="preserve"> </w:t>
            </w:r>
            <w:proofErr w:type="spellStart"/>
            <w:r w:rsidR="00D5528E" w:rsidRPr="00B071AD">
              <w:rPr>
                <w:color w:val="FF0000"/>
              </w:rPr>
              <w:t>l’appui</w:t>
            </w:r>
            <w:proofErr w:type="spellEnd"/>
            <w:r w:rsidR="00D5528E" w:rsidRPr="00B071AD">
              <w:rPr>
                <w:color w:val="FF0000"/>
              </w:rPr>
              <w:t xml:space="preserve"> technique et le </w:t>
            </w:r>
            <w:proofErr w:type="spellStart"/>
            <w:r w:rsidR="00D5528E" w:rsidRPr="00B071AD">
              <w:rPr>
                <w:color w:val="FF0000"/>
              </w:rPr>
              <w:t>suivi</w:t>
            </w:r>
            <w:proofErr w:type="spellEnd"/>
            <w:r w:rsidR="00D5528E" w:rsidRPr="00B071AD">
              <w:rPr>
                <w:color w:val="FF0000"/>
              </w:rPr>
              <w:t xml:space="preserve"> </w:t>
            </w:r>
            <w:proofErr w:type="spellStart"/>
            <w:r w:rsidR="00D5528E" w:rsidRPr="00B071AD">
              <w:rPr>
                <w:color w:val="FF0000"/>
              </w:rPr>
              <w:t>rapproché</w:t>
            </w:r>
            <w:proofErr w:type="spellEnd"/>
            <w:r w:rsidR="00D5528E" w:rsidRPr="00B071AD">
              <w:rPr>
                <w:color w:val="FF0000"/>
              </w:rPr>
              <w:t xml:space="preserve"> de la mise </w:t>
            </w:r>
            <w:proofErr w:type="spellStart"/>
            <w:r w:rsidR="00D5528E" w:rsidRPr="00B071AD">
              <w:rPr>
                <w:color w:val="FF0000"/>
              </w:rPr>
              <w:t>en</w:t>
            </w:r>
            <w:proofErr w:type="spellEnd"/>
            <w:r w:rsidR="00D5528E" w:rsidRPr="00B071AD">
              <w:rPr>
                <w:color w:val="FF0000"/>
              </w:rPr>
              <w:t xml:space="preserve"> oeuvre </w:t>
            </w:r>
            <w:r w:rsidRPr="00B071AD">
              <w:rPr>
                <w:color w:val="FF0000"/>
              </w:rPr>
              <w:t xml:space="preserve">des </w:t>
            </w:r>
            <w:proofErr w:type="spellStart"/>
            <w:r w:rsidRPr="00B071AD">
              <w:rPr>
                <w:color w:val="FF0000"/>
              </w:rPr>
              <w:t>activités</w:t>
            </w:r>
            <w:proofErr w:type="spellEnd"/>
            <w:r w:rsidRPr="00B071AD">
              <w:rPr>
                <w:color w:val="FF0000"/>
              </w:rPr>
              <w:t xml:space="preserve"> VIH et TB/VIH</w:t>
            </w:r>
            <w:r w:rsidR="00D5528E" w:rsidRPr="00B071AD">
              <w:rPr>
                <w:color w:val="FF0000"/>
              </w:rPr>
              <w:t xml:space="preserve"> dans les DS (</w:t>
            </w:r>
            <w:proofErr w:type="spellStart"/>
            <w:r w:rsidR="00D5528E" w:rsidRPr="00B071AD">
              <w:rPr>
                <w:color w:val="FF0000"/>
              </w:rPr>
              <w:t>en</w:t>
            </w:r>
            <w:proofErr w:type="spellEnd"/>
            <w:r w:rsidR="00D5528E" w:rsidRPr="00B071AD">
              <w:rPr>
                <w:color w:val="FF0000"/>
              </w:rPr>
              <w:t xml:space="preserve"> particulier les plus grands sites), </w:t>
            </w:r>
            <w:r w:rsidRPr="00B071AD">
              <w:rPr>
                <w:color w:val="FF0000"/>
              </w:rPr>
              <w:t xml:space="preserve">sous la </w:t>
            </w:r>
            <w:proofErr w:type="spellStart"/>
            <w:r w:rsidRPr="00B071AD">
              <w:rPr>
                <w:color w:val="FF0000"/>
              </w:rPr>
              <w:t>responsabilité</w:t>
            </w:r>
            <w:proofErr w:type="spellEnd"/>
            <w:r w:rsidRPr="00B071AD">
              <w:rPr>
                <w:color w:val="FF0000"/>
              </w:rPr>
              <w:t xml:space="preserve"> des </w:t>
            </w:r>
            <w:r w:rsidR="00C833E8" w:rsidRPr="00B071AD">
              <w:rPr>
                <w:color w:val="FF0000"/>
              </w:rPr>
              <w:t>DR</w:t>
            </w:r>
            <w:r w:rsidRPr="00B071AD">
              <w:rPr>
                <w:color w:val="FF0000"/>
              </w:rPr>
              <w:t>.</w:t>
            </w:r>
            <w:r w:rsidR="004A626D" w:rsidRPr="00B071AD">
              <w:rPr>
                <w:color w:val="FF0000"/>
              </w:rPr>
              <w:t xml:space="preserve"> </w:t>
            </w:r>
          </w:p>
          <w:p w14:paraId="22B2F4AB" w14:textId="68CFB2A0" w:rsidR="00C833E8" w:rsidRDefault="00B071AD" w:rsidP="005D5C5E">
            <w:pPr>
              <w:pStyle w:val="Texteformulaire"/>
              <w:rPr>
                <w:color w:val="FF0000"/>
              </w:rPr>
            </w:pPr>
            <w:r w:rsidRPr="00B071AD">
              <w:rPr>
                <w:color w:val="FF0000"/>
              </w:rPr>
              <w:t>Par rapport au NFM2 (</w:t>
            </w:r>
            <w:proofErr w:type="spellStart"/>
            <w:r w:rsidRPr="00B071AD">
              <w:rPr>
                <w:color w:val="FF0000"/>
              </w:rPr>
              <w:t>incluant</w:t>
            </w:r>
            <w:proofErr w:type="spellEnd"/>
            <w:r w:rsidRPr="00B071AD">
              <w:rPr>
                <w:color w:val="FF0000"/>
              </w:rPr>
              <w:t xml:space="preserve"> la </w:t>
            </w:r>
            <w:proofErr w:type="spellStart"/>
            <w:r w:rsidRPr="00B071AD">
              <w:rPr>
                <w:color w:val="FF0000"/>
              </w:rPr>
              <w:t>reprogrammation</w:t>
            </w:r>
            <w:proofErr w:type="spellEnd"/>
            <w:r w:rsidRPr="00B071AD">
              <w:rPr>
                <w:color w:val="FF0000"/>
              </w:rPr>
              <w:t>)</w:t>
            </w:r>
            <w:r w:rsidR="004A626D" w:rsidRPr="00B071AD">
              <w:rPr>
                <w:color w:val="FF0000"/>
              </w:rPr>
              <w:t xml:space="preserve">, </w:t>
            </w:r>
            <w:proofErr w:type="spellStart"/>
            <w:r w:rsidR="004A626D" w:rsidRPr="00B071AD">
              <w:rPr>
                <w:color w:val="FF0000"/>
              </w:rPr>
              <w:t>l’</w:t>
            </w:r>
            <w:r w:rsidRPr="00B071AD">
              <w:rPr>
                <w:color w:val="FF0000"/>
              </w:rPr>
              <w:t>ensemble</w:t>
            </w:r>
            <w:proofErr w:type="spellEnd"/>
            <w:r w:rsidRPr="00B071AD">
              <w:rPr>
                <w:color w:val="FF0000"/>
              </w:rPr>
              <w:t xml:space="preserve"> </w:t>
            </w:r>
            <w:r w:rsidR="004A626D" w:rsidRPr="00B071AD">
              <w:rPr>
                <w:color w:val="FF0000"/>
              </w:rPr>
              <w:t>de</w:t>
            </w:r>
            <w:r w:rsidRPr="00B071AD">
              <w:rPr>
                <w:color w:val="FF0000"/>
              </w:rPr>
              <w:t>s</w:t>
            </w:r>
            <w:r w:rsidR="004A626D" w:rsidRPr="00B071AD">
              <w:rPr>
                <w:color w:val="FF0000"/>
              </w:rPr>
              <w:t xml:space="preserve"> </w:t>
            </w:r>
            <w:proofErr w:type="spellStart"/>
            <w:r w:rsidR="004A626D" w:rsidRPr="00B071AD">
              <w:rPr>
                <w:color w:val="FF0000"/>
              </w:rPr>
              <w:t>ressources</w:t>
            </w:r>
            <w:proofErr w:type="spellEnd"/>
            <w:r w:rsidR="004A626D" w:rsidRPr="00B071AD">
              <w:rPr>
                <w:color w:val="FF0000"/>
              </w:rPr>
              <w:t xml:space="preserve"> </w:t>
            </w:r>
            <w:proofErr w:type="spellStart"/>
            <w:r w:rsidR="004A626D" w:rsidRPr="00B071AD">
              <w:rPr>
                <w:color w:val="FF0000"/>
              </w:rPr>
              <w:t>humaines</w:t>
            </w:r>
            <w:proofErr w:type="spellEnd"/>
            <w:r w:rsidR="004A626D" w:rsidRPr="00B071AD">
              <w:rPr>
                <w:color w:val="FF0000"/>
              </w:rPr>
              <w:t xml:space="preserve"> du PNLS sera </w:t>
            </w:r>
            <w:proofErr w:type="spellStart"/>
            <w:r w:rsidRPr="00B071AD">
              <w:rPr>
                <w:color w:val="FF0000"/>
              </w:rPr>
              <w:t>augmenté</w:t>
            </w:r>
            <w:proofErr w:type="spellEnd"/>
            <w:r w:rsidR="004A626D" w:rsidRPr="00B071AD">
              <w:rPr>
                <w:color w:val="FF0000"/>
              </w:rPr>
              <w:t xml:space="preserve"> de 1</w:t>
            </w:r>
            <w:r w:rsidR="001F36AD">
              <w:rPr>
                <w:color w:val="FF0000"/>
              </w:rPr>
              <w:t>4</w:t>
            </w:r>
            <w:r w:rsidRPr="00B071AD">
              <w:rPr>
                <w:color w:val="FF0000"/>
              </w:rPr>
              <w:t xml:space="preserve"> </w:t>
            </w:r>
            <w:proofErr w:type="spellStart"/>
            <w:r w:rsidR="004A626D" w:rsidRPr="00B071AD">
              <w:rPr>
                <w:color w:val="FF0000"/>
              </w:rPr>
              <w:t>personnes</w:t>
            </w:r>
            <w:proofErr w:type="spellEnd"/>
            <w:r w:rsidR="004A626D" w:rsidRPr="00B071AD">
              <w:rPr>
                <w:color w:val="FF0000"/>
              </w:rPr>
              <w:t>.</w:t>
            </w:r>
          </w:p>
          <w:p w14:paraId="3ABE0892" w14:textId="506BA956" w:rsidR="00B071AD" w:rsidRPr="001F36AD" w:rsidRDefault="001F36AD" w:rsidP="00B071AD">
            <w:pPr>
              <w:pStyle w:val="Texteformulaire"/>
              <w:rPr>
                <w:color w:val="FF0000"/>
              </w:rPr>
            </w:pPr>
            <w:proofErr w:type="spellStart"/>
            <w:r w:rsidRPr="001F36AD">
              <w:rPr>
                <w:color w:val="FF0000"/>
              </w:rPr>
              <w:t>En</w:t>
            </w:r>
            <w:proofErr w:type="spellEnd"/>
            <w:r w:rsidRPr="001F36AD">
              <w:rPr>
                <w:color w:val="FF0000"/>
              </w:rPr>
              <w:t xml:space="preserve"> </w:t>
            </w:r>
            <w:proofErr w:type="spellStart"/>
            <w:r w:rsidRPr="001F36AD">
              <w:rPr>
                <w:color w:val="FF0000"/>
              </w:rPr>
              <w:t>cours</w:t>
            </w:r>
            <w:proofErr w:type="spellEnd"/>
            <w:r w:rsidRPr="001F36AD">
              <w:rPr>
                <w:color w:val="FF0000"/>
              </w:rPr>
              <w:t xml:space="preserve"> de </w:t>
            </w:r>
            <w:proofErr w:type="spellStart"/>
            <w:r w:rsidRPr="001F36AD">
              <w:rPr>
                <w:color w:val="FF0000"/>
              </w:rPr>
              <w:t>recrutement</w:t>
            </w:r>
            <w:proofErr w:type="spellEnd"/>
            <w:r w:rsidRPr="001F36AD">
              <w:rPr>
                <w:color w:val="FF0000"/>
              </w:rPr>
              <w:t xml:space="preserve"> dans le cadre de la </w:t>
            </w:r>
            <w:proofErr w:type="spellStart"/>
            <w:r w:rsidRPr="001F36AD">
              <w:rPr>
                <w:color w:val="FF0000"/>
              </w:rPr>
              <w:t>reprogrammation</w:t>
            </w:r>
            <w:proofErr w:type="spellEnd"/>
            <w:r w:rsidRPr="001F36AD">
              <w:rPr>
                <w:color w:val="FF0000"/>
              </w:rPr>
              <w:t xml:space="preserve"> du NFM2, l</w:t>
            </w:r>
            <w:r w:rsidR="00B071AD" w:rsidRPr="001F36AD">
              <w:rPr>
                <w:color w:val="FF0000"/>
              </w:rPr>
              <w:t xml:space="preserve">es 3 </w:t>
            </w:r>
            <w:proofErr w:type="spellStart"/>
            <w:r w:rsidR="00B071AD" w:rsidRPr="001F36AD">
              <w:rPr>
                <w:color w:val="FF0000"/>
              </w:rPr>
              <w:t>conseillers</w:t>
            </w:r>
            <w:proofErr w:type="spellEnd"/>
            <w:r w:rsidR="00B071AD" w:rsidRPr="001F36AD">
              <w:rPr>
                <w:color w:val="FF0000"/>
              </w:rPr>
              <w:t xml:space="preserve"> techniques (</w:t>
            </w:r>
            <w:proofErr w:type="spellStart"/>
            <w:r w:rsidR="00B071AD" w:rsidRPr="001F36AD">
              <w:rPr>
                <w:color w:val="FF0000"/>
              </w:rPr>
              <w:t>prévention</w:t>
            </w:r>
            <w:proofErr w:type="spellEnd"/>
            <w:r w:rsidR="00B071AD" w:rsidRPr="001F36AD">
              <w:rPr>
                <w:color w:val="FF0000"/>
              </w:rPr>
              <w:t xml:space="preserve">, </w:t>
            </w:r>
            <w:proofErr w:type="spellStart"/>
            <w:r w:rsidR="00B071AD" w:rsidRPr="001F36AD">
              <w:rPr>
                <w:color w:val="FF0000"/>
              </w:rPr>
              <w:t>soins</w:t>
            </w:r>
            <w:proofErr w:type="spellEnd"/>
            <w:r w:rsidR="00B071AD" w:rsidRPr="001F36AD">
              <w:rPr>
                <w:color w:val="FF0000"/>
              </w:rPr>
              <w:t xml:space="preserve"> et </w:t>
            </w:r>
            <w:proofErr w:type="spellStart"/>
            <w:r w:rsidR="00B071AD" w:rsidRPr="001F36AD">
              <w:rPr>
                <w:color w:val="FF0000"/>
              </w:rPr>
              <w:t>soutien</w:t>
            </w:r>
            <w:proofErr w:type="spellEnd"/>
            <w:r w:rsidR="00B071AD" w:rsidRPr="001F36AD">
              <w:rPr>
                <w:color w:val="FF0000"/>
              </w:rPr>
              <w:t xml:space="preserve">, </w:t>
            </w:r>
            <w:proofErr w:type="spellStart"/>
            <w:r w:rsidR="00B071AD" w:rsidRPr="001F36AD">
              <w:rPr>
                <w:color w:val="FF0000"/>
              </w:rPr>
              <w:t>médicament-laboratoire</w:t>
            </w:r>
            <w:proofErr w:type="spellEnd"/>
            <w:r w:rsidR="00B071AD" w:rsidRPr="001F36AD">
              <w:rPr>
                <w:color w:val="FF0000"/>
              </w:rPr>
              <w:t>)</w:t>
            </w:r>
            <w:r>
              <w:rPr>
                <w:color w:val="FF0000"/>
              </w:rPr>
              <w:t xml:space="preserve"> et</w:t>
            </w:r>
            <w:r w:rsidR="00B071AD" w:rsidRPr="001F36AD">
              <w:rPr>
                <w:color w:val="FF0000"/>
              </w:rPr>
              <w:t xml:space="preserve"> le chargé de </w:t>
            </w:r>
            <w:proofErr w:type="spellStart"/>
            <w:r w:rsidR="00B071AD" w:rsidRPr="001F36AD">
              <w:rPr>
                <w:color w:val="FF0000"/>
              </w:rPr>
              <w:t>programme</w:t>
            </w:r>
            <w:proofErr w:type="spellEnd"/>
            <w:r w:rsidR="00B071AD" w:rsidRPr="001F36AD">
              <w:rPr>
                <w:color w:val="FF0000"/>
              </w:rPr>
              <w:t xml:space="preserve"> milieu </w:t>
            </w:r>
            <w:proofErr w:type="spellStart"/>
            <w:r w:rsidR="00B071AD" w:rsidRPr="001F36AD">
              <w:rPr>
                <w:color w:val="FF0000"/>
              </w:rPr>
              <w:t>carc</w:t>
            </w:r>
            <w:r w:rsidRPr="001F36AD">
              <w:rPr>
                <w:color w:val="FF0000"/>
              </w:rPr>
              <w:t>é</w:t>
            </w:r>
            <w:r w:rsidR="00B071AD" w:rsidRPr="001F36AD">
              <w:rPr>
                <w:color w:val="FF0000"/>
              </w:rPr>
              <w:t>ral</w:t>
            </w:r>
            <w:proofErr w:type="spellEnd"/>
            <w:r w:rsidRPr="001F36AD">
              <w:rPr>
                <w:color w:val="FF0000"/>
              </w:rPr>
              <w:t xml:space="preserve"> qui </w:t>
            </w:r>
            <w:proofErr w:type="spellStart"/>
            <w:r w:rsidRPr="001F36AD">
              <w:rPr>
                <w:color w:val="FF0000"/>
              </w:rPr>
              <w:t>seront</w:t>
            </w:r>
            <w:proofErr w:type="spellEnd"/>
            <w:r w:rsidRPr="001F36AD">
              <w:rPr>
                <w:color w:val="FF0000"/>
              </w:rPr>
              <w:t xml:space="preserve"> </w:t>
            </w:r>
            <w:proofErr w:type="spellStart"/>
            <w:r w:rsidRPr="001F36AD">
              <w:rPr>
                <w:color w:val="FF0000"/>
              </w:rPr>
              <w:t>positionnés</w:t>
            </w:r>
            <w:proofErr w:type="spellEnd"/>
            <w:r w:rsidRPr="001F36AD">
              <w:rPr>
                <w:color w:val="FF0000"/>
              </w:rPr>
              <w:t xml:space="preserve"> au PNLS,</w:t>
            </w:r>
            <w:r w:rsidR="00B071AD" w:rsidRPr="001F36AD">
              <w:rPr>
                <w:color w:val="FF0000"/>
              </w:rPr>
              <w:t xml:space="preserve"> </w:t>
            </w:r>
            <w:proofErr w:type="spellStart"/>
            <w:r w:rsidR="00B071AD" w:rsidRPr="001F36AD">
              <w:rPr>
                <w:color w:val="FF0000"/>
              </w:rPr>
              <w:t>ainsi</w:t>
            </w:r>
            <w:proofErr w:type="spellEnd"/>
            <w:r w:rsidR="00B071AD" w:rsidRPr="001F36AD">
              <w:rPr>
                <w:color w:val="FF0000"/>
              </w:rPr>
              <w:t xml:space="preserve"> que les 2</w:t>
            </w:r>
            <w:r>
              <w:rPr>
                <w:color w:val="FF0000"/>
              </w:rPr>
              <w:t>3</w:t>
            </w:r>
            <w:r w:rsidR="00B071AD" w:rsidRPr="001F36AD">
              <w:rPr>
                <w:color w:val="FF0000"/>
              </w:rPr>
              <w:t xml:space="preserve"> </w:t>
            </w:r>
            <w:proofErr w:type="spellStart"/>
            <w:r w:rsidR="00B071AD" w:rsidRPr="001F36AD">
              <w:rPr>
                <w:color w:val="FF0000"/>
              </w:rPr>
              <w:t>Gestionnaires</w:t>
            </w:r>
            <w:proofErr w:type="spellEnd"/>
            <w:r w:rsidR="00B071AD" w:rsidRPr="001F36AD">
              <w:rPr>
                <w:color w:val="FF0000"/>
              </w:rPr>
              <w:t xml:space="preserve"> de </w:t>
            </w:r>
            <w:proofErr w:type="spellStart"/>
            <w:r w:rsidR="00B071AD" w:rsidRPr="001F36AD">
              <w:rPr>
                <w:color w:val="FF0000"/>
              </w:rPr>
              <w:t>Données</w:t>
            </w:r>
            <w:proofErr w:type="spellEnd"/>
            <w:r w:rsidRPr="001F36AD">
              <w:rPr>
                <w:color w:val="FF0000"/>
              </w:rPr>
              <w:t xml:space="preserve"> qui </w:t>
            </w:r>
            <w:proofErr w:type="spellStart"/>
            <w:r w:rsidRPr="001F36AD">
              <w:rPr>
                <w:color w:val="FF0000"/>
              </w:rPr>
              <w:t>seront</w:t>
            </w:r>
            <w:proofErr w:type="spellEnd"/>
            <w:r w:rsidRPr="001F36AD">
              <w:rPr>
                <w:color w:val="FF0000"/>
              </w:rPr>
              <w:t xml:space="preserve"> </w:t>
            </w:r>
            <w:proofErr w:type="spellStart"/>
            <w:r w:rsidR="00B071AD" w:rsidRPr="001F36AD">
              <w:rPr>
                <w:color w:val="FF0000"/>
              </w:rPr>
              <w:t>positionnés</w:t>
            </w:r>
            <w:proofErr w:type="spellEnd"/>
            <w:r w:rsidR="00B071AD" w:rsidRPr="001F36AD">
              <w:rPr>
                <w:color w:val="FF0000"/>
              </w:rPr>
              <w:t xml:space="preserve"> dans les sites de prise en charge à fortes files actives des DS soutenus par le FM, </w:t>
            </w:r>
            <w:proofErr w:type="spellStart"/>
            <w:r w:rsidR="00B071AD" w:rsidRPr="001F36AD">
              <w:rPr>
                <w:color w:val="FF0000"/>
              </w:rPr>
              <w:t>sont</w:t>
            </w:r>
            <w:proofErr w:type="spellEnd"/>
            <w:r w:rsidR="00B071AD" w:rsidRPr="001F36AD">
              <w:rPr>
                <w:color w:val="FF0000"/>
              </w:rPr>
              <w:t xml:space="preserve"> </w:t>
            </w:r>
            <w:proofErr w:type="spellStart"/>
            <w:r w:rsidR="00B071AD" w:rsidRPr="001F36AD">
              <w:rPr>
                <w:color w:val="FF0000"/>
              </w:rPr>
              <w:t>reconduits</w:t>
            </w:r>
            <w:proofErr w:type="spellEnd"/>
            <w:r w:rsidRPr="001F36AD">
              <w:rPr>
                <w:color w:val="FF0000"/>
              </w:rPr>
              <w:t xml:space="preserve"> dans la nouvelle subvention</w:t>
            </w:r>
            <w:r w:rsidR="00B071AD" w:rsidRPr="001F36AD">
              <w:rPr>
                <w:color w:val="FF0000"/>
              </w:rPr>
              <w:t>.</w:t>
            </w:r>
          </w:p>
          <w:p w14:paraId="026615A8" w14:textId="77777777" w:rsidR="004A626D" w:rsidRPr="004A626D" w:rsidRDefault="004A626D" w:rsidP="004A626D">
            <w:pPr>
              <w:rPr>
                <w:lang w:val="en-US"/>
              </w:rPr>
            </w:pPr>
          </w:p>
          <w:p w14:paraId="6122C87D" w14:textId="3943B2DE" w:rsidR="00267D16" w:rsidRPr="0019513D" w:rsidRDefault="002B7FAB" w:rsidP="00267D16">
            <w:pPr>
              <w:pStyle w:val="NormalNoSpace"/>
              <w:rPr>
                <w:b/>
                <w:bCs/>
                <w:lang w:val="fr-FR"/>
              </w:rPr>
            </w:pPr>
            <w:r w:rsidRPr="0019513D">
              <w:rPr>
                <w:b/>
                <w:bCs/>
                <w:lang w:val="fr-FR"/>
              </w:rPr>
              <w:t>Alliance Côte d’Ivoire</w:t>
            </w:r>
          </w:p>
          <w:p w14:paraId="1E1C6E99" w14:textId="0AB4DB93" w:rsidR="00267D16" w:rsidRPr="0019513D" w:rsidRDefault="00267D16" w:rsidP="0019513D">
            <w:pPr>
              <w:pStyle w:val="Texteformulaire"/>
            </w:pPr>
            <w:r w:rsidRPr="0019513D">
              <w:t xml:space="preserve">Le PR </w:t>
            </w:r>
            <w:proofErr w:type="spellStart"/>
            <w:r w:rsidRPr="0019513D">
              <w:t>communautaire</w:t>
            </w:r>
            <w:proofErr w:type="spellEnd"/>
            <w:r w:rsidRPr="0019513D">
              <w:t xml:space="preserve"> </w:t>
            </w:r>
            <w:proofErr w:type="spellStart"/>
            <w:r w:rsidRPr="0019513D">
              <w:t>contractualisera</w:t>
            </w:r>
            <w:proofErr w:type="spellEnd"/>
            <w:r w:rsidRPr="0019513D">
              <w:t xml:space="preserve"> avec </w:t>
            </w:r>
            <w:proofErr w:type="spellStart"/>
            <w:r w:rsidR="008B5ECF">
              <w:t>différents</w:t>
            </w:r>
            <w:proofErr w:type="spellEnd"/>
            <w:r w:rsidR="008B5ECF">
              <w:t xml:space="preserve"> sous-</w:t>
            </w:r>
            <w:proofErr w:type="spellStart"/>
            <w:r w:rsidR="008B5ECF">
              <w:t>récipiendaires</w:t>
            </w:r>
            <w:proofErr w:type="spellEnd"/>
            <w:r w:rsidR="008B5ECF">
              <w:t xml:space="preserve"> (</w:t>
            </w:r>
            <w:r w:rsidRPr="0019513D">
              <w:t>SR</w:t>
            </w:r>
            <w:r w:rsidR="008B5ECF">
              <w:t>s)</w:t>
            </w:r>
            <w:r w:rsidRPr="0019513D">
              <w:t xml:space="preserve">. Il </w:t>
            </w:r>
            <w:proofErr w:type="spellStart"/>
            <w:r w:rsidRPr="0019513D">
              <w:t>décaissera</w:t>
            </w:r>
            <w:proofErr w:type="spellEnd"/>
            <w:r w:rsidRPr="0019513D">
              <w:t xml:space="preserve"> des fonds aux SR</w:t>
            </w:r>
            <w:r w:rsidR="008B5ECF">
              <w:t>s</w:t>
            </w:r>
            <w:r w:rsidRPr="0019513D">
              <w:t xml:space="preserve"> pour </w:t>
            </w:r>
            <w:proofErr w:type="spellStart"/>
            <w:r w:rsidRPr="0019513D">
              <w:t>l’opérationnalisation</w:t>
            </w:r>
            <w:proofErr w:type="spellEnd"/>
            <w:r w:rsidRPr="0019513D">
              <w:t xml:space="preserve"> des </w:t>
            </w:r>
            <w:proofErr w:type="spellStart"/>
            <w:r w:rsidRPr="0019513D">
              <w:t>activités</w:t>
            </w:r>
            <w:proofErr w:type="spellEnd"/>
            <w:r w:rsidRPr="0019513D">
              <w:t xml:space="preserve"> et </w:t>
            </w:r>
            <w:proofErr w:type="spellStart"/>
            <w:r w:rsidRPr="0019513D">
              <w:t>assurera</w:t>
            </w:r>
            <w:proofErr w:type="spellEnd"/>
            <w:r w:rsidRPr="0019513D">
              <w:t xml:space="preserve"> la coordination et le </w:t>
            </w:r>
            <w:proofErr w:type="spellStart"/>
            <w:r w:rsidRPr="0019513D">
              <w:t>suivi</w:t>
            </w:r>
            <w:proofErr w:type="spellEnd"/>
            <w:r w:rsidRPr="0019513D">
              <w:t xml:space="preserve"> de la mise </w:t>
            </w:r>
            <w:proofErr w:type="spellStart"/>
            <w:r w:rsidRPr="0019513D">
              <w:t>en</w:t>
            </w:r>
            <w:proofErr w:type="spellEnd"/>
            <w:r w:rsidRPr="0019513D">
              <w:t xml:space="preserve"> </w:t>
            </w:r>
            <w:proofErr w:type="spellStart"/>
            <w:r w:rsidRPr="0019513D">
              <w:t>œuvre</w:t>
            </w:r>
            <w:proofErr w:type="spellEnd"/>
            <w:r w:rsidR="008B5ECF">
              <w:t>,</w:t>
            </w:r>
            <w:r w:rsidRPr="0019513D">
              <w:t xml:space="preserve"> </w:t>
            </w:r>
            <w:proofErr w:type="spellStart"/>
            <w:r w:rsidRPr="0019513D">
              <w:t>conformément</w:t>
            </w:r>
            <w:proofErr w:type="spellEnd"/>
            <w:r w:rsidRPr="0019513D">
              <w:t xml:space="preserve"> au </w:t>
            </w:r>
            <w:proofErr w:type="spellStart"/>
            <w:r w:rsidRPr="0019513D">
              <w:t>mémorandum</w:t>
            </w:r>
            <w:proofErr w:type="spellEnd"/>
            <w:r w:rsidRPr="0019513D">
              <w:t xml:space="preserve"> </w:t>
            </w:r>
            <w:proofErr w:type="spellStart"/>
            <w:r w:rsidRPr="0019513D">
              <w:t>d’entente</w:t>
            </w:r>
            <w:proofErr w:type="spellEnd"/>
            <w:r w:rsidRPr="0019513D">
              <w:t xml:space="preserve"> </w:t>
            </w:r>
            <w:proofErr w:type="spellStart"/>
            <w:r w:rsidRPr="0019513D">
              <w:t>élaboré</w:t>
            </w:r>
            <w:proofErr w:type="spellEnd"/>
            <w:r w:rsidRPr="0019513D">
              <w:t xml:space="preserve"> entre PR et SR</w:t>
            </w:r>
            <w:r w:rsidR="008B5ECF">
              <w:t xml:space="preserve">, </w:t>
            </w:r>
            <w:proofErr w:type="spellStart"/>
            <w:r w:rsidR="008B5ECF">
              <w:t>incluant</w:t>
            </w:r>
            <w:proofErr w:type="spellEnd"/>
            <w:r w:rsidR="008B5ECF">
              <w:t xml:space="preserve"> des </w:t>
            </w:r>
            <w:proofErr w:type="spellStart"/>
            <w:r w:rsidRPr="0019513D">
              <w:t>réunions</w:t>
            </w:r>
            <w:proofErr w:type="spellEnd"/>
            <w:r w:rsidRPr="0019513D">
              <w:t xml:space="preserve"> </w:t>
            </w:r>
            <w:proofErr w:type="spellStart"/>
            <w:r w:rsidRPr="0019513D">
              <w:t>trimestrielles</w:t>
            </w:r>
            <w:proofErr w:type="spellEnd"/>
            <w:r w:rsidRPr="0019513D">
              <w:t xml:space="preserve"> de coordination. </w:t>
            </w:r>
          </w:p>
          <w:p w14:paraId="43CB9C3A" w14:textId="7D2981A7" w:rsidR="00267D16" w:rsidRPr="0019513D" w:rsidRDefault="00267D16" w:rsidP="0019513D">
            <w:pPr>
              <w:pStyle w:val="Texteformulaire"/>
            </w:pPr>
            <w:r w:rsidRPr="0019513D">
              <w:t xml:space="preserve">Au </w:t>
            </w:r>
            <w:proofErr w:type="spellStart"/>
            <w:r w:rsidRPr="0019513D">
              <w:t>cours</w:t>
            </w:r>
            <w:proofErr w:type="spellEnd"/>
            <w:r w:rsidRPr="0019513D">
              <w:t xml:space="preserve"> de la mise </w:t>
            </w:r>
            <w:proofErr w:type="spellStart"/>
            <w:r w:rsidRPr="0019513D">
              <w:t>en</w:t>
            </w:r>
            <w:proofErr w:type="spellEnd"/>
            <w:r w:rsidRPr="0019513D">
              <w:t xml:space="preserve"> </w:t>
            </w:r>
            <w:proofErr w:type="spellStart"/>
            <w:r w:rsidRPr="0019513D">
              <w:t>œuvre</w:t>
            </w:r>
            <w:proofErr w:type="spellEnd"/>
            <w:r w:rsidRPr="0019513D">
              <w:t xml:space="preserve"> de la subvention NFM 2 </w:t>
            </w:r>
            <w:proofErr w:type="spellStart"/>
            <w:r w:rsidRPr="0019513D">
              <w:t>communautaire</w:t>
            </w:r>
            <w:proofErr w:type="spellEnd"/>
            <w:r w:rsidRPr="0019513D">
              <w:t xml:space="preserve">, des </w:t>
            </w:r>
            <w:proofErr w:type="spellStart"/>
            <w:r w:rsidRPr="0019513D">
              <w:t>contraintes</w:t>
            </w:r>
            <w:proofErr w:type="spellEnd"/>
            <w:r w:rsidRPr="0019513D">
              <w:t xml:space="preserve"> </w:t>
            </w:r>
            <w:proofErr w:type="spellStart"/>
            <w:r w:rsidRPr="0019513D">
              <w:t>ont</w:t>
            </w:r>
            <w:proofErr w:type="spellEnd"/>
            <w:r w:rsidRPr="0019513D">
              <w:t xml:space="preserve"> </w:t>
            </w:r>
            <w:proofErr w:type="spellStart"/>
            <w:r w:rsidRPr="0019513D">
              <w:t>été</w:t>
            </w:r>
            <w:proofErr w:type="spellEnd"/>
            <w:r w:rsidRPr="0019513D">
              <w:t xml:space="preserve"> </w:t>
            </w:r>
            <w:proofErr w:type="spellStart"/>
            <w:r w:rsidRPr="0019513D">
              <w:t>identifiées</w:t>
            </w:r>
            <w:proofErr w:type="spellEnd"/>
            <w:r w:rsidRPr="0019513D">
              <w:t xml:space="preserve"> </w:t>
            </w:r>
            <w:proofErr w:type="spellStart"/>
            <w:r w:rsidRPr="0019513D">
              <w:t>notamment</w:t>
            </w:r>
            <w:proofErr w:type="spellEnd"/>
            <w:r w:rsidRPr="0019513D">
              <w:t> : (</w:t>
            </w:r>
            <w:proofErr w:type="spellStart"/>
            <w:r w:rsidRPr="0019513D">
              <w:t>i</w:t>
            </w:r>
            <w:proofErr w:type="spellEnd"/>
            <w:r w:rsidRPr="0019513D">
              <w:t xml:space="preserve">) la </w:t>
            </w:r>
            <w:proofErr w:type="spellStart"/>
            <w:r w:rsidRPr="0019513D">
              <w:t>lenteur</w:t>
            </w:r>
            <w:proofErr w:type="spellEnd"/>
            <w:r w:rsidRPr="0019513D">
              <w:t xml:space="preserve"> dans la </w:t>
            </w:r>
            <w:proofErr w:type="spellStart"/>
            <w:r w:rsidRPr="0019513D">
              <w:t>remontée</w:t>
            </w:r>
            <w:proofErr w:type="spellEnd"/>
            <w:r w:rsidRPr="0019513D">
              <w:t xml:space="preserve"> des </w:t>
            </w:r>
            <w:proofErr w:type="spellStart"/>
            <w:r w:rsidRPr="0019513D">
              <w:t>informations</w:t>
            </w:r>
            <w:proofErr w:type="spellEnd"/>
            <w:r w:rsidR="008B5ECF">
              <w:t> ;</w:t>
            </w:r>
            <w:r w:rsidRPr="0019513D">
              <w:t xml:space="preserve"> (ii) </w:t>
            </w:r>
            <w:proofErr w:type="spellStart"/>
            <w:r w:rsidRPr="0019513D">
              <w:t>l’insuffisance</w:t>
            </w:r>
            <w:proofErr w:type="spellEnd"/>
            <w:r w:rsidRPr="0019513D">
              <w:t xml:space="preserve"> de production des </w:t>
            </w:r>
            <w:proofErr w:type="spellStart"/>
            <w:r w:rsidRPr="0019513D">
              <w:t>justificatifs</w:t>
            </w:r>
            <w:proofErr w:type="spellEnd"/>
            <w:r w:rsidRPr="0019513D">
              <w:t xml:space="preserve"> de </w:t>
            </w:r>
            <w:proofErr w:type="spellStart"/>
            <w:r w:rsidRPr="0019513D">
              <w:t>dépenses</w:t>
            </w:r>
            <w:proofErr w:type="spellEnd"/>
            <w:r w:rsidR="008B5ECF">
              <w:t> ;</w:t>
            </w:r>
            <w:r w:rsidR="008B5ECF" w:rsidRPr="0019513D">
              <w:t xml:space="preserve"> </w:t>
            </w:r>
            <w:r w:rsidRPr="0019513D">
              <w:t>(iii) le non-</w:t>
            </w:r>
            <w:proofErr w:type="spellStart"/>
            <w:r w:rsidRPr="0019513D">
              <w:t>alignement</w:t>
            </w:r>
            <w:proofErr w:type="spellEnd"/>
            <w:r w:rsidRPr="0019513D">
              <w:t xml:space="preserve"> avec la </w:t>
            </w:r>
            <w:proofErr w:type="spellStart"/>
            <w:r w:rsidRPr="0019513D">
              <w:t>stratégie</w:t>
            </w:r>
            <w:proofErr w:type="spellEnd"/>
            <w:r w:rsidRPr="0019513D">
              <w:t xml:space="preserve"> </w:t>
            </w:r>
            <w:proofErr w:type="spellStart"/>
            <w:r w:rsidRPr="0019513D">
              <w:t>nationale</w:t>
            </w:r>
            <w:proofErr w:type="spellEnd"/>
            <w:r w:rsidRPr="0019513D">
              <w:t xml:space="preserve"> de la direction de la santé </w:t>
            </w:r>
            <w:proofErr w:type="spellStart"/>
            <w:r w:rsidRPr="0019513D">
              <w:t>communautaire</w:t>
            </w:r>
            <w:proofErr w:type="spellEnd"/>
            <w:r w:rsidR="008B5ECF">
              <w:t xml:space="preserve"> ; </w:t>
            </w:r>
            <w:r w:rsidRPr="0019513D">
              <w:t xml:space="preserve">et (iv) la </w:t>
            </w:r>
            <w:proofErr w:type="spellStart"/>
            <w:r w:rsidRPr="0019513D">
              <w:t>faible</w:t>
            </w:r>
            <w:proofErr w:type="spellEnd"/>
            <w:r w:rsidRPr="0019513D">
              <w:t xml:space="preserve"> </w:t>
            </w:r>
            <w:proofErr w:type="spellStart"/>
            <w:r w:rsidRPr="0019513D">
              <w:t>prise</w:t>
            </w:r>
            <w:proofErr w:type="spellEnd"/>
            <w:r w:rsidRPr="0019513D">
              <w:t xml:space="preserve"> </w:t>
            </w:r>
            <w:proofErr w:type="spellStart"/>
            <w:r w:rsidRPr="0019513D">
              <w:t>en</w:t>
            </w:r>
            <w:proofErr w:type="spellEnd"/>
            <w:r w:rsidRPr="0019513D">
              <w:t xml:space="preserve"> </w:t>
            </w:r>
            <w:proofErr w:type="spellStart"/>
            <w:r w:rsidRPr="0019513D">
              <w:t>compte</w:t>
            </w:r>
            <w:proofErr w:type="spellEnd"/>
            <w:r w:rsidRPr="0019513D">
              <w:t xml:space="preserve"> de la co-infection TB/VIH. </w:t>
            </w:r>
          </w:p>
          <w:p w14:paraId="1482922A" w14:textId="3CDF874B" w:rsidR="00C833E8" w:rsidRPr="0019513D" w:rsidRDefault="00267D16" w:rsidP="0019513D">
            <w:pPr>
              <w:pStyle w:val="Texteformulaire"/>
            </w:pPr>
            <w:r w:rsidRPr="0019513D">
              <w:t xml:space="preserve">Alliance Côte d’Ivoire </w:t>
            </w:r>
            <w:proofErr w:type="spellStart"/>
            <w:r w:rsidR="008B5ECF">
              <w:t>actionnera</w:t>
            </w:r>
            <w:proofErr w:type="spellEnd"/>
            <w:r w:rsidRPr="0019513D">
              <w:t xml:space="preserve"> un nouveau </w:t>
            </w:r>
            <w:proofErr w:type="spellStart"/>
            <w:r w:rsidRPr="0019513D">
              <w:t>schéma</w:t>
            </w:r>
            <w:proofErr w:type="spellEnd"/>
            <w:r w:rsidRPr="0019513D">
              <w:t xml:space="preserve"> de mise </w:t>
            </w:r>
            <w:proofErr w:type="spellStart"/>
            <w:r w:rsidRPr="0019513D">
              <w:t>en</w:t>
            </w:r>
            <w:proofErr w:type="spellEnd"/>
            <w:r w:rsidRPr="0019513D">
              <w:t xml:space="preserve"> </w:t>
            </w:r>
            <w:proofErr w:type="spellStart"/>
            <w:r w:rsidRPr="0019513D">
              <w:t>œuvre</w:t>
            </w:r>
            <w:proofErr w:type="spellEnd"/>
            <w:r w:rsidRPr="0019513D">
              <w:t xml:space="preserve"> </w:t>
            </w:r>
            <w:proofErr w:type="spellStart"/>
            <w:r w:rsidRPr="0019513D">
              <w:t>répond</w:t>
            </w:r>
            <w:r w:rsidR="002307F4">
              <w:t>ant</w:t>
            </w:r>
            <w:proofErr w:type="spellEnd"/>
            <w:r w:rsidRPr="0019513D">
              <w:t xml:space="preserve"> </w:t>
            </w:r>
            <w:r w:rsidR="008B5ECF">
              <w:t xml:space="preserve">à </w:t>
            </w:r>
            <w:proofErr w:type="spellStart"/>
            <w:r w:rsidR="008B5ECF">
              <w:t>ces</w:t>
            </w:r>
            <w:proofErr w:type="spellEnd"/>
            <w:r w:rsidR="008B5ECF" w:rsidRPr="0019513D">
              <w:t xml:space="preserve"> </w:t>
            </w:r>
            <w:proofErr w:type="spellStart"/>
            <w:r w:rsidRPr="0019513D">
              <w:t>défis</w:t>
            </w:r>
            <w:proofErr w:type="spellEnd"/>
            <w:r w:rsidR="008B5ECF">
              <w:t xml:space="preserve">, qui </w:t>
            </w:r>
            <w:proofErr w:type="spellStart"/>
            <w:r w:rsidR="008B5ECF">
              <w:t>permettra</w:t>
            </w:r>
            <w:proofErr w:type="spellEnd"/>
            <w:r w:rsidR="008B5ECF">
              <w:t xml:space="preserve"> </w:t>
            </w:r>
            <w:r w:rsidRPr="0019513D">
              <w:t>de : (</w:t>
            </w:r>
            <w:proofErr w:type="spellStart"/>
            <w:r w:rsidRPr="0019513D">
              <w:t>i</w:t>
            </w:r>
            <w:proofErr w:type="spellEnd"/>
            <w:r w:rsidRPr="0019513D">
              <w:t xml:space="preserve">) </w:t>
            </w:r>
            <w:proofErr w:type="spellStart"/>
            <w:r w:rsidR="008B5ECF">
              <w:t>R</w:t>
            </w:r>
            <w:r w:rsidRPr="0019513D">
              <w:t>enforcer</w:t>
            </w:r>
            <w:proofErr w:type="spellEnd"/>
            <w:r w:rsidRPr="0019513D">
              <w:t xml:space="preserve"> </w:t>
            </w:r>
            <w:proofErr w:type="spellStart"/>
            <w:r w:rsidRPr="0019513D">
              <w:t>l’intégration</w:t>
            </w:r>
            <w:proofErr w:type="spellEnd"/>
            <w:r w:rsidRPr="0019513D">
              <w:t xml:space="preserve"> des interventions TB/VIH </w:t>
            </w:r>
            <w:proofErr w:type="spellStart"/>
            <w:r w:rsidRPr="0019513D">
              <w:t>aussi</w:t>
            </w:r>
            <w:proofErr w:type="spellEnd"/>
            <w:r w:rsidRPr="0019513D">
              <w:t xml:space="preserve"> bien sur les sites de </w:t>
            </w:r>
            <w:proofErr w:type="spellStart"/>
            <w:r w:rsidRPr="0019513D">
              <w:t>prise</w:t>
            </w:r>
            <w:proofErr w:type="spellEnd"/>
            <w:r w:rsidRPr="0019513D">
              <w:t xml:space="preserve"> </w:t>
            </w:r>
            <w:proofErr w:type="spellStart"/>
            <w:r w:rsidRPr="0019513D">
              <w:t>en</w:t>
            </w:r>
            <w:proofErr w:type="spellEnd"/>
            <w:r w:rsidRPr="0019513D">
              <w:t xml:space="preserve"> charge du VIH que de la TB</w:t>
            </w:r>
            <w:r w:rsidR="008B5ECF">
              <w:t>,</w:t>
            </w:r>
            <w:r w:rsidRPr="0019513D">
              <w:t xml:space="preserve"> car Alliance Côte d’Ivoire assure </w:t>
            </w:r>
            <w:proofErr w:type="spellStart"/>
            <w:r w:rsidRPr="0019513D">
              <w:t>également</w:t>
            </w:r>
            <w:proofErr w:type="spellEnd"/>
            <w:r w:rsidRPr="0019513D">
              <w:t xml:space="preserve"> la mise </w:t>
            </w:r>
            <w:proofErr w:type="spellStart"/>
            <w:r w:rsidRPr="0019513D">
              <w:t>en</w:t>
            </w:r>
            <w:proofErr w:type="spellEnd"/>
            <w:r w:rsidRPr="0019513D">
              <w:t xml:space="preserve"> </w:t>
            </w:r>
            <w:proofErr w:type="spellStart"/>
            <w:r w:rsidRPr="0019513D">
              <w:t>œuvre</w:t>
            </w:r>
            <w:proofErr w:type="spellEnd"/>
            <w:r w:rsidRPr="0019513D">
              <w:t xml:space="preserve"> de la subvention </w:t>
            </w:r>
            <w:proofErr w:type="spellStart"/>
            <w:r w:rsidRPr="0019513D">
              <w:lastRenderedPageBreak/>
              <w:t>communautaire</w:t>
            </w:r>
            <w:proofErr w:type="spellEnd"/>
            <w:r w:rsidRPr="0019513D">
              <w:t xml:space="preserve"> TB ; (ii)  </w:t>
            </w:r>
            <w:proofErr w:type="spellStart"/>
            <w:r w:rsidRPr="0019513D">
              <w:t>renforcer</w:t>
            </w:r>
            <w:proofErr w:type="spellEnd"/>
            <w:r w:rsidRPr="0019513D">
              <w:t xml:space="preserve"> le </w:t>
            </w:r>
            <w:proofErr w:type="spellStart"/>
            <w:r w:rsidRPr="0019513D">
              <w:t>ciblage</w:t>
            </w:r>
            <w:proofErr w:type="spellEnd"/>
            <w:r w:rsidRPr="0019513D">
              <w:t xml:space="preserve"> des populations </w:t>
            </w:r>
            <w:proofErr w:type="spellStart"/>
            <w:r w:rsidRPr="0019513D">
              <w:t>clés</w:t>
            </w:r>
            <w:proofErr w:type="spellEnd"/>
            <w:r w:rsidRPr="0019513D">
              <w:t xml:space="preserve"> à travers </w:t>
            </w:r>
            <w:proofErr w:type="spellStart"/>
            <w:r w:rsidRPr="0019513D">
              <w:t>une</w:t>
            </w:r>
            <w:proofErr w:type="spellEnd"/>
            <w:r w:rsidRPr="0019513D">
              <w:t xml:space="preserve"> </w:t>
            </w:r>
            <w:proofErr w:type="spellStart"/>
            <w:r w:rsidRPr="0019513D">
              <w:t>approche</w:t>
            </w:r>
            <w:proofErr w:type="spellEnd"/>
            <w:r w:rsidRPr="0019513D">
              <w:t xml:space="preserve"> </w:t>
            </w:r>
            <w:proofErr w:type="spellStart"/>
            <w:r w:rsidRPr="0019513D">
              <w:t>différenciée</w:t>
            </w:r>
            <w:proofErr w:type="spellEnd"/>
            <w:r w:rsidRPr="0019513D">
              <w:t xml:space="preserve"> ; (iii) </w:t>
            </w:r>
            <w:proofErr w:type="spellStart"/>
            <w:r w:rsidRPr="0019513D">
              <w:t>réduire</w:t>
            </w:r>
            <w:proofErr w:type="spellEnd"/>
            <w:r w:rsidRPr="0019513D">
              <w:t xml:space="preserve"> les </w:t>
            </w:r>
            <w:proofErr w:type="spellStart"/>
            <w:r w:rsidRPr="0019513D">
              <w:t>risques</w:t>
            </w:r>
            <w:proofErr w:type="spellEnd"/>
            <w:r w:rsidRPr="0019513D">
              <w:t xml:space="preserve"> de rupture de fonds à </w:t>
            </w:r>
            <w:proofErr w:type="spellStart"/>
            <w:r w:rsidRPr="0019513D">
              <w:t>tous</w:t>
            </w:r>
            <w:proofErr w:type="spellEnd"/>
            <w:r w:rsidRPr="0019513D">
              <w:t xml:space="preserve"> les </w:t>
            </w:r>
            <w:proofErr w:type="spellStart"/>
            <w:r w:rsidRPr="0019513D">
              <w:t>niveaux</w:t>
            </w:r>
            <w:proofErr w:type="spellEnd"/>
            <w:r w:rsidRPr="0019513D">
              <w:t xml:space="preserve"> ; (iv) </w:t>
            </w:r>
            <w:proofErr w:type="spellStart"/>
            <w:r w:rsidRPr="0019513D">
              <w:t>améliorer</w:t>
            </w:r>
            <w:proofErr w:type="spellEnd"/>
            <w:r w:rsidRPr="0019513D">
              <w:t xml:space="preserve"> </w:t>
            </w:r>
            <w:proofErr w:type="spellStart"/>
            <w:r w:rsidRPr="0019513D">
              <w:t>l’impact</w:t>
            </w:r>
            <w:proofErr w:type="spellEnd"/>
            <w:r w:rsidRPr="0019513D">
              <w:t xml:space="preserve"> des interventions </w:t>
            </w:r>
            <w:proofErr w:type="spellStart"/>
            <w:r w:rsidRPr="0019513D">
              <w:t>communautaires</w:t>
            </w:r>
            <w:proofErr w:type="spellEnd"/>
            <w:r w:rsidRPr="0019513D">
              <w:t>.</w:t>
            </w:r>
          </w:p>
          <w:p w14:paraId="7A40F916" w14:textId="755D80C8" w:rsidR="002307F4" w:rsidRDefault="006D3AB9" w:rsidP="0019513D">
            <w:pPr>
              <w:pStyle w:val="Texteformulaire"/>
            </w:pPr>
            <w:r>
              <w:t xml:space="preserve">Alliance Côte d’Ivoire </w:t>
            </w:r>
            <w:proofErr w:type="spellStart"/>
            <w:r w:rsidR="005A416E">
              <w:t>s’assurera</w:t>
            </w:r>
            <w:proofErr w:type="spellEnd"/>
            <w:r w:rsidR="005A416E">
              <w:t xml:space="preserve"> de l</w:t>
            </w:r>
            <w:r w:rsidR="00267D16" w:rsidRPr="0019513D">
              <w:t xml:space="preserve">a participation des </w:t>
            </w:r>
            <w:proofErr w:type="spellStart"/>
            <w:r w:rsidR="008B5ECF">
              <w:t>bénéficiaires</w:t>
            </w:r>
            <w:proofErr w:type="spellEnd"/>
            <w:r w:rsidR="008B5ECF" w:rsidRPr="0019513D">
              <w:t xml:space="preserve"> </w:t>
            </w:r>
            <w:r w:rsidR="00267D16" w:rsidRPr="0019513D">
              <w:t xml:space="preserve">par </w:t>
            </w:r>
            <w:proofErr w:type="spellStart"/>
            <w:r w:rsidR="00267D16" w:rsidRPr="0019513D">
              <w:t>l</w:t>
            </w:r>
            <w:r w:rsidR="002307F4">
              <w:t>eur</w:t>
            </w:r>
            <w:proofErr w:type="spellEnd"/>
            <w:r w:rsidR="002307F4">
              <w:t xml:space="preserve"> </w:t>
            </w:r>
            <w:r w:rsidR="00267D16" w:rsidRPr="0019513D">
              <w:t>implication d</w:t>
            </w:r>
            <w:r w:rsidR="002307F4">
              <w:t>ans</w:t>
            </w:r>
            <w:r w:rsidR="00267D16" w:rsidRPr="0019513D">
              <w:t xml:space="preserve"> </w:t>
            </w:r>
            <w:r w:rsidR="002307F4">
              <w:t>le</w:t>
            </w:r>
            <w:r w:rsidR="002307F4" w:rsidRPr="00657639">
              <w:t xml:space="preserve"> </w:t>
            </w:r>
            <w:proofErr w:type="spellStart"/>
            <w:r w:rsidR="002307F4" w:rsidRPr="00657639">
              <w:t>système</w:t>
            </w:r>
            <w:proofErr w:type="spellEnd"/>
            <w:r w:rsidR="002307F4" w:rsidRPr="00657639">
              <w:t xml:space="preserve"> </w:t>
            </w:r>
            <w:proofErr w:type="spellStart"/>
            <w:r w:rsidR="002307F4" w:rsidRPr="00657639">
              <w:t>d’alerte</w:t>
            </w:r>
            <w:proofErr w:type="spellEnd"/>
            <w:r w:rsidR="002307F4" w:rsidRPr="00657639">
              <w:t xml:space="preserve"> et de plaidoyer sur la </w:t>
            </w:r>
            <w:proofErr w:type="spellStart"/>
            <w:r w:rsidR="002307F4" w:rsidRPr="00657639">
              <w:t>disponibilité</w:t>
            </w:r>
            <w:proofErr w:type="spellEnd"/>
            <w:r w:rsidR="002307F4" w:rsidRPr="00657639">
              <w:t xml:space="preserve"> des services et la rupture des </w:t>
            </w:r>
            <w:proofErr w:type="spellStart"/>
            <w:r w:rsidR="002307F4" w:rsidRPr="00657639">
              <w:t>produits</w:t>
            </w:r>
            <w:proofErr w:type="spellEnd"/>
            <w:r w:rsidR="002307F4" w:rsidRPr="00657639">
              <w:t xml:space="preserve"> de santé</w:t>
            </w:r>
            <w:r w:rsidR="002307F4" w:rsidRPr="0019513D">
              <w:t xml:space="preserve"> </w:t>
            </w:r>
            <w:r w:rsidR="002307F4">
              <w:t xml:space="preserve">de </w:t>
            </w:r>
            <w:r w:rsidR="00267D16" w:rsidRPr="0019513D">
              <w:t xml:space="preserve">la </w:t>
            </w:r>
            <w:proofErr w:type="spellStart"/>
            <w:r w:rsidR="00267D16" w:rsidRPr="0019513D">
              <w:t>Plateforme</w:t>
            </w:r>
            <w:proofErr w:type="spellEnd"/>
            <w:r w:rsidR="00267D16" w:rsidRPr="0019513D">
              <w:t xml:space="preserve"> des </w:t>
            </w:r>
            <w:proofErr w:type="spellStart"/>
            <w:r w:rsidR="00267D16" w:rsidRPr="0019513D">
              <w:t>réseaux</w:t>
            </w:r>
            <w:proofErr w:type="spellEnd"/>
            <w:r w:rsidR="00267D16" w:rsidRPr="0019513D">
              <w:t xml:space="preserve"> et </w:t>
            </w:r>
            <w:proofErr w:type="spellStart"/>
            <w:r w:rsidR="00267D16" w:rsidRPr="0019513D">
              <w:t>faitières</w:t>
            </w:r>
            <w:proofErr w:type="spellEnd"/>
            <w:r w:rsidR="00267D16" w:rsidRPr="0019513D">
              <w:t xml:space="preserve"> de </w:t>
            </w:r>
            <w:proofErr w:type="spellStart"/>
            <w:r w:rsidR="00267D16" w:rsidRPr="0019513D">
              <w:t>lutte</w:t>
            </w:r>
            <w:proofErr w:type="spellEnd"/>
            <w:r w:rsidR="00267D16" w:rsidRPr="0019513D">
              <w:t> </w:t>
            </w:r>
            <w:proofErr w:type="spellStart"/>
            <w:r w:rsidR="00267D16" w:rsidRPr="0019513D">
              <w:t>contre</w:t>
            </w:r>
            <w:proofErr w:type="spellEnd"/>
            <w:r w:rsidR="00267D16" w:rsidRPr="0019513D">
              <w:t xml:space="preserve"> le </w:t>
            </w:r>
            <w:proofErr w:type="spellStart"/>
            <w:r w:rsidR="00267D16" w:rsidRPr="0019513D">
              <w:t>sida</w:t>
            </w:r>
            <w:proofErr w:type="spellEnd"/>
            <w:r w:rsidR="00267D16" w:rsidRPr="0019513D">
              <w:t xml:space="preserve"> et les </w:t>
            </w:r>
            <w:proofErr w:type="spellStart"/>
            <w:r w:rsidR="00267D16" w:rsidRPr="0019513D">
              <w:t>autres</w:t>
            </w:r>
            <w:proofErr w:type="spellEnd"/>
            <w:r w:rsidR="00267D16" w:rsidRPr="0019513D">
              <w:t xml:space="preserve"> </w:t>
            </w:r>
            <w:proofErr w:type="spellStart"/>
            <w:r w:rsidR="00267D16" w:rsidRPr="0019513D">
              <w:t>pandémies</w:t>
            </w:r>
            <w:proofErr w:type="spellEnd"/>
            <w:r w:rsidR="00267D16" w:rsidRPr="0019513D">
              <w:t xml:space="preserve">. </w:t>
            </w:r>
          </w:p>
          <w:p w14:paraId="2BA74497" w14:textId="4614A7A5" w:rsidR="005A416E" w:rsidRDefault="008B5ECF" w:rsidP="0019513D">
            <w:pPr>
              <w:pStyle w:val="Texteformulaire"/>
            </w:pPr>
            <w:r>
              <w:t xml:space="preserve">Par </w:t>
            </w:r>
            <w:proofErr w:type="spellStart"/>
            <w:r>
              <w:t>ailleurs</w:t>
            </w:r>
            <w:proofErr w:type="spellEnd"/>
            <w:r w:rsidR="00267D16" w:rsidRPr="0019513D">
              <w:t xml:space="preserve">, </w:t>
            </w:r>
            <w:r w:rsidR="006D3AB9">
              <w:t xml:space="preserve">Alliance Côte d’Ivoire </w:t>
            </w:r>
            <w:proofErr w:type="spellStart"/>
            <w:r w:rsidR="005A416E">
              <w:t>rendra</w:t>
            </w:r>
            <w:proofErr w:type="spellEnd"/>
            <w:r w:rsidR="005A416E">
              <w:t xml:space="preserve"> </w:t>
            </w:r>
            <w:proofErr w:type="spellStart"/>
            <w:r w:rsidR="005A416E">
              <w:t>régulièrement</w:t>
            </w:r>
            <w:proofErr w:type="spellEnd"/>
            <w:r w:rsidR="005A416E">
              <w:t xml:space="preserve"> </w:t>
            </w:r>
            <w:proofErr w:type="spellStart"/>
            <w:r w:rsidR="005A416E">
              <w:t>compte</w:t>
            </w:r>
            <w:proofErr w:type="spellEnd"/>
            <w:r w:rsidR="005A416E">
              <w:t xml:space="preserve"> de </w:t>
            </w:r>
            <w:proofErr w:type="spellStart"/>
            <w:r w:rsidR="005A416E">
              <w:t>ses</w:t>
            </w:r>
            <w:proofErr w:type="spellEnd"/>
            <w:r w:rsidR="005A416E">
              <w:t xml:space="preserve"> </w:t>
            </w:r>
            <w:proofErr w:type="spellStart"/>
            <w:r w:rsidR="005A416E">
              <w:t>activités</w:t>
            </w:r>
            <w:proofErr w:type="spellEnd"/>
            <w:r w:rsidR="005A416E">
              <w:t xml:space="preserve"> au CCM, dans </w:t>
            </w:r>
            <w:proofErr w:type="spellStart"/>
            <w:r w:rsidR="005A416E">
              <w:t>lequel</w:t>
            </w:r>
            <w:proofErr w:type="spellEnd"/>
            <w:r w:rsidR="005A416E">
              <w:t xml:space="preserve"> </w:t>
            </w:r>
            <w:proofErr w:type="spellStart"/>
            <w:r w:rsidR="005A416E">
              <w:t>siègent</w:t>
            </w:r>
            <w:proofErr w:type="spellEnd"/>
            <w:r w:rsidR="005A416E">
              <w:t xml:space="preserve"> d</w:t>
            </w:r>
            <w:r w:rsidR="00267D16" w:rsidRPr="0019513D">
              <w:t xml:space="preserve">es </w:t>
            </w:r>
            <w:proofErr w:type="spellStart"/>
            <w:r w:rsidR="00267D16" w:rsidRPr="0019513D">
              <w:t>représentants</w:t>
            </w:r>
            <w:proofErr w:type="spellEnd"/>
            <w:r w:rsidR="00267D16" w:rsidRPr="0019513D">
              <w:t xml:space="preserve"> des </w:t>
            </w:r>
            <w:proofErr w:type="spellStart"/>
            <w:r w:rsidR="00267D16" w:rsidRPr="0019513D">
              <w:t>personnes</w:t>
            </w:r>
            <w:proofErr w:type="spellEnd"/>
            <w:r w:rsidR="00267D16" w:rsidRPr="0019513D">
              <w:t xml:space="preserve"> </w:t>
            </w:r>
            <w:proofErr w:type="spellStart"/>
            <w:r w:rsidR="002307F4">
              <w:t>atteintes</w:t>
            </w:r>
            <w:proofErr w:type="spellEnd"/>
            <w:r w:rsidR="002307F4">
              <w:t xml:space="preserve"> </w:t>
            </w:r>
            <w:proofErr w:type="spellStart"/>
            <w:r w:rsidR="00267D16" w:rsidRPr="0019513D">
              <w:t>ainsi</w:t>
            </w:r>
            <w:proofErr w:type="spellEnd"/>
            <w:r w:rsidR="00267D16" w:rsidRPr="0019513D">
              <w:t xml:space="preserve"> que </w:t>
            </w:r>
            <w:r w:rsidR="005A416E">
              <w:t>d</w:t>
            </w:r>
            <w:r w:rsidR="00267D16" w:rsidRPr="0019513D">
              <w:t>es populations-</w:t>
            </w:r>
            <w:proofErr w:type="spellStart"/>
            <w:r w:rsidR="00267D16" w:rsidRPr="0019513D">
              <w:t>clés</w:t>
            </w:r>
            <w:proofErr w:type="spellEnd"/>
            <w:r w:rsidR="005A416E">
              <w:t xml:space="preserve"> </w:t>
            </w:r>
            <w:proofErr w:type="spellStart"/>
            <w:r w:rsidR="005A416E">
              <w:t>bénéficiaires</w:t>
            </w:r>
            <w:proofErr w:type="spellEnd"/>
            <w:r w:rsidR="005A416E">
              <w:t xml:space="preserve">. A </w:t>
            </w:r>
            <w:proofErr w:type="spellStart"/>
            <w:r w:rsidR="005A416E">
              <w:t>ce</w:t>
            </w:r>
            <w:proofErr w:type="spellEnd"/>
            <w:r w:rsidR="005A416E">
              <w:t xml:space="preserve"> </w:t>
            </w:r>
            <w:proofErr w:type="spellStart"/>
            <w:r w:rsidR="005A416E">
              <w:t>titre</w:t>
            </w:r>
            <w:proofErr w:type="spellEnd"/>
            <w:r w:rsidR="005A416E">
              <w:t xml:space="preserve">, </w:t>
            </w:r>
            <w:proofErr w:type="spellStart"/>
            <w:r w:rsidR="005A416E">
              <w:t>il</w:t>
            </w:r>
            <w:proofErr w:type="spellEnd"/>
            <w:r w:rsidR="005A416E">
              <w:t xml:space="preserve"> </w:t>
            </w:r>
            <w:proofErr w:type="spellStart"/>
            <w:r w:rsidR="005A416E">
              <w:t>assurera</w:t>
            </w:r>
            <w:proofErr w:type="spellEnd"/>
            <w:r w:rsidR="005A416E">
              <w:t xml:space="preserve"> </w:t>
            </w:r>
            <w:proofErr w:type="spellStart"/>
            <w:r w:rsidR="005A416E">
              <w:t>ses</w:t>
            </w:r>
            <w:proofErr w:type="spellEnd"/>
            <w:r w:rsidR="005A416E">
              <w:t xml:space="preserve"> obligations de </w:t>
            </w:r>
            <w:proofErr w:type="spellStart"/>
            <w:r w:rsidR="005A416E">
              <w:t>redevabilité</w:t>
            </w:r>
            <w:proofErr w:type="spellEnd"/>
            <w:r w:rsidR="005A416E">
              <w:t xml:space="preserve"> vis-à-vis des </w:t>
            </w:r>
            <w:proofErr w:type="spellStart"/>
            <w:r w:rsidR="005A416E">
              <w:t>bénéficiaires</w:t>
            </w:r>
            <w:proofErr w:type="spellEnd"/>
            <w:r w:rsidR="005A416E">
              <w:t xml:space="preserve"> sur les interventions mises </w:t>
            </w:r>
            <w:proofErr w:type="spellStart"/>
            <w:r w:rsidR="005A416E">
              <w:t>en</w:t>
            </w:r>
            <w:proofErr w:type="spellEnd"/>
            <w:r w:rsidR="005A416E">
              <w:t xml:space="preserve"> </w:t>
            </w:r>
            <w:proofErr w:type="spellStart"/>
            <w:r w:rsidR="005A416E">
              <w:t>œuvre</w:t>
            </w:r>
            <w:proofErr w:type="spellEnd"/>
            <w:r w:rsidR="005A416E">
              <w:t xml:space="preserve">. </w:t>
            </w:r>
          </w:p>
          <w:p w14:paraId="70EEBB55" w14:textId="510AF994" w:rsidR="000E77C1" w:rsidRDefault="006D3AB9" w:rsidP="000E77C1">
            <w:pPr>
              <w:pStyle w:val="Texteformulaire"/>
            </w:pPr>
            <w:r>
              <w:t xml:space="preserve">Alliance Côte d’Ivoire </w:t>
            </w:r>
            <w:proofErr w:type="spellStart"/>
            <w:r w:rsidR="00203219">
              <w:t>portera</w:t>
            </w:r>
            <w:proofErr w:type="spellEnd"/>
            <w:r w:rsidR="00203219">
              <w:t xml:space="preserve"> </w:t>
            </w:r>
            <w:proofErr w:type="spellStart"/>
            <w:r w:rsidR="00203219">
              <w:t>une</w:t>
            </w:r>
            <w:proofErr w:type="spellEnd"/>
            <w:r w:rsidR="00203219">
              <w:t xml:space="preserve"> attention </w:t>
            </w:r>
            <w:proofErr w:type="spellStart"/>
            <w:r w:rsidR="00203219">
              <w:t>spécifique</w:t>
            </w:r>
            <w:proofErr w:type="spellEnd"/>
            <w:r w:rsidR="00203219">
              <w:t xml:space="preserve"> à </w:t>
            </w:r>
            <w:proofErr w:type="spellStart"/>
            <w:r w:rsidR="00203219">
              <w:t>l’inclusion</w:t>
            </w:r>
            <w:proofErr w:type="spellEnd"/>
            <w:r w:rsidR="00203219">
              <w:t xml:space="preserve"> de </w:t>
            </w:r>
            <w:proofErr w:type="spellStart"/>
            <w:r w:rsidR="00203219">
              <w:t>personnes</w:t>
            </w:r>
            <w:proofErr w:type="spellEnd"/>
            <w:r w:rsidR="00203219">
              <w:t xml:space="preserve"> issues des </w:t>
            </w:r>
            <w:proofErr w:type="spellStart"/>
            <w:r w:rsidR="00203219">
              <w:t>bénéficiaires</w:t>
            </w:r>
            <w:proofErr w:type="spellEnd"/>
            <w:r w:rsidR="00203219">
              <w:t xml:space="preserve"> dans </w:t>
            </w:r>
            <w:proofErr w:type="spellStart"/>
            <w:r w:rsidR="00203219">
              <w:t>ses</w:t>
            </w:r>
            <w:proofErr w:type="spellEnd"/>
            <w:r w:rsidR="00203219">
              <w:t xml:space="preserve"> </w:t>
            </w:r>
            <w:proofErr w:type="spellStart"/>
            <w:r w:rsidR="00203219">
              <w:t>équipes</w:t>
            </w:r>
            <w:proofErr w:type="spellEnd"/>
            <w:r w:rsidR="00203219">
              <w:t xml:space="preserve"> </w:t>
            </w:r>
            <w:proofErr w:type="spellStart"/>
            <w:r w:rsidR="00203219">
              <w:t>d’intervention</w:t>
            </w:r>
            <w:proofErr w:type="spellEnd"/>
            <w:r w:rsidR="00203219">
              <w:t xml:space="preserve">, </w:t>
            </w:r>
            <w:proofErr w:type="spellStart"/>
            <w:r w:rsidR="00203219">
              <w:t>notamment</w:t>
            </w:r>
            <w:proofErr w:type="spellEnd"/>
            <w:r w:rsidR="00203219">
              <w:t xml:space="preserve"> les </w:t>
            </w:r>
            <w:proofErr w:type="spellStart"/>
            <w:r w:rsidR="00203219">
              <w:t>jeunes</w:t>
            </w:r>
            <w:proofErr w:type="spellEnd"/>
            <w:r w:rsidR="00203219">
              <w:t xml:space="preserve"> </w:t>
            </w:r>
            <w:proofErr w:type="spellStart"/>
            <w:r w:rsidR="00203219">
              <w:t>filles</w:t>
            </w:r>
            <w:proofErr w:type="spellEnd"/>
            <w:r w:rsidR="00203219">
              <w:t xml:space="preserve"> et femmes, les PVVIH, les populations </w:t>
            </w:r>
            <w:proofErr w:type="spellStart"/>
            <w:r w:rsidR="00203219">
              <w:t>clés</w:t>
            </w:r>
            <w:proofErr w:type="spellEnd"/>
            <w:r w:rsidR="00203219">
              <w:t xml:space="preserve"> et </w:t>
            </w:r>
            <w:proofErr w:type="spellStart"/>
            <w:r w:rsidR="00203219">
              <w:t>vulnérables</w:t>
            </w:r>
            <w:proofErr w:type="spellEnd"/>
            <w:r w:rsidR="00203219">
              <w:t xml:space="preserve">. </w:t>
            </w:r>
            <w:proofErr w:type="spellStart"/>
            <w:r w:rsidR="00203219">
              <w:t>Notamment</w:t>
            </w:r>
            <w:proofErr w:type="spellEnd"/>
            <w:r w:rsidR="00203219">
              <w:t xml:space="preserve"> pour</w:t>
            </w:r>
            <w:r w:rsidR="00267D16" w:rsidRPr="0019513D">
              <w:t xml:space="preserve"> </w:t>
            </w:r>
            <w:proofErr w:type="spellStart"/>
            <w:r w:rsidR="00267D16" w:rsidRPr="0019513D">
              <w:t>s’assurer</w:t>
            </w:r>
            <w:proofErr w:type="spellEnd"/>
            <w:r w:rsidR="00267D16" w:rsidRPr="0019513D">
              <w:t xml:space="preserve"> que </w:t>
            </w:r>
            <w:proofErr w:type="spellStart"/>
            <w:r w:rsidR="00203219">
              <w:t>ceux</w:t>
            </w:r>
            <w:proofErr w:type="spellEnd"/>
            <w:r w:rsidR="00203219">
              <w:t xml:space="preserve">-ci </w:t>
            </w:r>
            <w:proofErr w:type="spellStart"/>
            <w:r w:rsidR="00203219">
              <w:t>contribuent</w:t>
            </w:r>
            <w:proofErr w:type="spellEnd"/>
            <w:r w:rsidR="00203219">
              <w:t xml:space="preserve"> </w:t>
            </w:r>
            <w:proofErr w:type="spellStart"/>
            <w:r w:rsidR="00203219">
              <w:t>efficacement</w:t>
            </w:r>
            <w:proofErr w:type="spellEnd"/>
            <w:r w:rsidR="00203219">
              <w:t xml:space="preserve"> à </w:t>
            </w:r>
            <w:r w:rsidR="00267D16" w:rsidRPr="0019513D">
              <w:t xml:space="preserve">la </w:t>
            </w:r>
            <w:proofErr w:type="spellStart"/>
            <w:r w:rsidR="00267D16" w:rsidRPr="0019513D">
              <w:t>mobilisation</w:t>
            </w:r>
            <w:proofErr w:type="spellEnd"/>
            <w:r w:rsidR="00267D16" w:rsidRPr="0019513D">
              <w:t xml:space="preserve"> </w:t>
            </w:r>
            <w:r w:rsidR="00203219">
              <w:t xml:space="preserve">des populations </w:t>
            </w:r>
            <w:proofErr w:type="spellStart"/>
            <w:r w:rsidR="00203219">
              <w:t>ciblées</w:t>
            </w:r>
            <w:proofErr w:type="spellEnd"/>
            <w:r w:rsidR="00203219">
              <w:t>.</w:t>
            </w:r>
          </w:p>
          <w:p w14:paraId="358198C1" w14:textId="06E9C3D8" w:rsidR="000E77C1" w:rsidRPr="000E77C1" w:rsidRDefault="000E77C1" w:rsidP="000E77C1">
            <w:pPr>
              <w:pStyle w:val="Texteformulaire"/>
            </w:pPr>
            <w:proofErr w:type="spellStart"/>
            <w:r w:rsidRPr="000E77C1">
              <w:t>L’augmentation</w:t>
            </w:r>
            <w:proofErr w:type="spellEnd"/>
            <w:r w:rsidRPr="000E77C1">
              <w:t xml:space="preserve"> </w:t>
            </w:r>
            <w:proofErr w:type="spellStart"/>
            <w:r w:rsidRPr="000E77C1">
              <w:t>budgétaire</w:t>
            </w:r>
            <w:proofErr w:type="spellEnd"/>
            <w:r w:rsidRPr="000E77C1">
              <w:t xml:space="preserve"> des primes des </w:t>
            </w:r>
            <w:proofErr w:type="spellStart"/>
            <w:r w:rsidRPr="000E77C1">
              <w:t>acteurs</w:t>
            </w:r>
            <w:proofErr w:type="spellEnd"/>
            <w:r w:rsidRPr="000E77C1">
              <w:t xml:space="preserve"> de la NMF3 par rapport à la NMF2 </w:t>
            </w:r>
            <w:proofErr w:type="spellStart"/>
            <w:r w:rsidRPr="000E77C1">
              <w:t>principalement</w:t>
            </w:r>
            <w:proofErr w:type="spellEnd"/>
            <w:r w:rsidRPr="000E77C1">
              <w:t xml:space="preserve"> par </w:t>
            </w:r>
            <w:proofErr w:type="spellStart"/>
            <w:r w:rsidRPr="000E77C1">
              <w:t>l’augmentation</w:t>
            </w:r>
            <w:proofErr w:type="spellEnd"/>
            <w:r w:rsidRPr="000E77C1">
              <w:t xml:space="preserve"> du </w:t>
            </w:r>
            <w:proofErr w:type="spellStart"/>
            <w:r w:rsidRPr="000E77C1">
              <w:t>nombre</w:t>
            </w:r>
            <w:proofErr w:type="spellEnd"/>
            <w:r w:rsidRPr="000E77C1">
              <w:t xml:space="preserve"> de district et </w:t>
            </w:r>
            <w:proofErr w:type="spellStart"/>
            <w:r w:rsidRPr="000E77C1">
              <w:t>d’acteurs</w:t>
            </w:r>
            <w:proofErr w:type="spellEnd"/>
            <w:r w:rsidRPr="000E77C1">
              <w:t xml:space="preserve"> de terrain qui à </w:t>
            </w:r>
            <w:proofErr w:type="spellStart"/>
            <w:r w:rsidRPr="000E77C1">
              <w:t>peu</w:t>
            </w:r>
            <w:proofErr w:type="spellEnd"/>
            <w:r w:rsidRPr="000E77C1">
              <w:t xml:space="preserve"> </w:t>
            </w:r>
            <w:proofErr w:type="spellStart"/>
            <w:r w:rsidRPr="000E77C1">
              <w:t>près</w:t>
            </w:r>
            <w:proofErr w:type="spellEnd"/>
            <w:r w:rsidRPr="000E77C1">
              <w:t xml:space="preserve"> à double entre le budget de la NMF2 (budget initial) et </w:t>
            </w:r>
            <w:proofErr w:type="spellStart"/>
            <w:r w:rsidRPr="000E77C1">
              <w:t>celui</w:t>
            </w:r>
            <w:proofErr w:type="spellEnd"/>
            <w:r w:rsidRPr="000E77C1">
              <w:t xml:space="preserve"> de la NMF3 </w:t>
            </w:r>
            <w:proofErr w:type="spellStart"/>
            <w:r w:rsidRPr="000E77C1">
              <w:t>en</w:t>
            </w:r>
            <w:proofErr w:type="spellEnd"/>
            <w:r w:rsidRPr="000E77C1">
              <w:t xml:space="preserve"> </w:t>
            </w:r>
            <w:proofErr w:type="spellStart"/>
            <w:r w:rsidRPr="000E77C1">
              <w:t>cours</w:t>
            </w:r>
            <w:proofErr w:type="spellEnd"/>
            <w:r w:rsidRPr="000E77C1">
              <w:t xml:space="preserve"> de </w:t>
            </w:r>
            <w:proofErr w:type="spellStart"/>
            <w:r w:rsidRPr="000E77C1">
              <w:t>soumission</w:t>
            </w:r>
            <w:proofErr w:type="spellEnd"/>
          </w:p>
          <w:p w14:paraId="12E38B74" w14:textId="5BB9279A" w:rsidR="006D3AB9" w:rsidRPr="0019513D" w:rsidRDefault="006D3AB9" w:rsidP="0019513D">
            <w:pPr>
              <w:pStyle w:val="Texteformulaire"/>
            </w:pPr>
            <w:r>
              <w:t xml:space="preserve">Au </w:t>
            </w:r>
            <w:proofErr w:type="spellStart"/>
            <w:r>
              <w:t>niveau</w:t>
            </w:r>
            <w:proofErr w:type="spellEnd"/>
            <w:r>
              <w:t xml:space="preserve"> </w:t>
            </w:r>
            <w:proofErr w:type="spellStart"/>
            <w:r>
              <w:t>décentralisé</w:t>
            </w:r>
            <w:proofErr w:type="spellEnd"/>
            <w:r>
              <w:t xml:space="preserve">, Alliance Côte d’Ivoire </w:t>
            </w:r>
            <w:proofErr w:type="spellStart"/>
            <w:r>
              <w:t>veillera</w:t>
            </w:r>
            <w:proofErr w:type="spellEnd"/>
            <w:r>
              <w:t xml:space="preserve"> à la participation active des </w:t>
            </w:r>
            <w:proofErr w:type="spellStart"/>
            <w:r>
              <w:t>acteurs</w:t>
            </w:r>
            <w:proofErr w:type="spellEnd"/>
            <w:r>
              <w:t xml:space="preserve"> </w:t>
            </w:r>
            <w:proofErr w:type="spellStart"/>
            <w:r>
              <w:t>communautaires</w:t>
            </w:r>
            <w:proofErr w:type="spellEnd"/>
            <w:r>
              <w:t xml:space="preserve"> </w:t>
            </w:r>
            <w:proofErr w:type="spellStart"/>
            <w:r>
              <w:t>locaux</w:t>
            </w:r>
            <w:proofErr w:type="spellEnd"/>
            <w:r>
              <w:t xml:space="preserve"> aux reunions </w:t>
            </w:r>
            <w:proofErr w:type="spellStart"/>
            <w:r>
              <w:t>hebdomadaires</w:t>
            </w:r>
            <w:proofErr w:type="spellEnd"/>
            <w:r>
              <w:t xml:space="preserve"> des sites de </w:t>
            </w:r>
            <w:proofErr w:type="spellStart"/>
            <w:r>
              <w:t>prise</w:t>
            </w:r>
            <w:proofErr w:type="spellEnd"/>
            <w:r>
              <w:t xml:space="preserve"> </w:t>
            </w:r>
            <w:proofErr w:type="spellStart"/>
            <w:r>
              <w:t>en</w:t>
            </w:r>
            <w:proofErr w:type="spellEnd"/>
            <w:r>
              <w:t xml:space="preserve"> charge et </w:t>
            </w:r>
            <w:proofErr w:type="spellStart"/>
            <w:r>
              <w:t>mensuelles</w:t>
            </w:r>
            <w:proofErr w:type="spellEnd"/>
            <w:r>
              <w:t xml:space="preserve"> des DS pour </w:t>
            </w:r>
            <w:proofErr w:type="spellStart"/>
            <w:r>
              <w:t>rendre</w:t>
            </w:r>
            <w:proofErr w:type="spellEnd"/>
            <w:r>
              <w:t xml:space="preserve"> </w:t>
            </w:r>
            <w:proofErr w:type="spellStart"/>
            <w:r>
              <w:t>compte</w:t>
            </w:r>
            <w:proofErr w:type="spellEnd"/>
            <w:r>
              <w:t xml:space="preserve"> des interventions </w:t>
            </w:r>
            <w:proofErr w:type="spellStart"/>
            <w:r>
              <w:t>communautaires</w:t>
            </w:r>
            <w:proofErr w:type="spellEnd"/>
            <w:r>
              <w:t xml:space="preserve"> et </w:t>
            </w:r>
            <w:proofErr w:type="spellStart"/>
            <w:r>
              <w:t>s’assurer</w:t>
            </w:r>
            <w:proofErr w:type="spellEnd"/>
            <w:r>
              <w:t xml:space="preserve"> de la </w:t>
            </w:r>
            <w:proofErr w:type="spellStart"/>
            <w:r>
              <w:t>qualité</w:t>
            </w:r>
            <w:proofErr w:type="spellEnd"/>
            <w:r>
              <w:t xml:space="preserve"> du continuum des </w:t>
            </w:r>
            <w:proofErr w:type="spellStart"/>
            <w:r>
              <w:t>soins</w:t>
            </w:r>
            <w:proofErr w:type="spellEnd"/>
            <w:r>
              <w:t>.</w:t>
            </w:r>
          </w:p>
          <w:p w14:paraId="1F06BB2B" w14:textId="77777777" w:rsidR="00603FAD" w:rsidRDefault="00603FAD" w:rsidP="004E7FC0">
            <w:pPr>
              <w:pStyle w:val="NormalNoSpace"/>
              <w:rPr>
                <w:b/>
                <w:bCs/>
                <w:lang w:val="fr-FR"/>
              </w:rPr>
            </w:pPr>
          </w:p>
          <w:p w14:paraId="701058B1" w14:textId="2C38EDC7" w:rsidR="00203219" w:rsidRPr="0019513D" w:rsidRDefault="00203219" w:rsidP="004E7FC0">
            <w:pPr>
              <w:pStyle w:val="NormalNoSpace"/>
              <w:rPr>
                <w:b/>
                <w:bCs/>
                <w:lang w:val="fr-FR"/>
              </w:rPr>
            </w:pPr>
            <w:r w:rsidRPr="0019513D">
              <w:rPr>
                <w:b/>
                <w:bCs/>
                <w:lang w:val="fr-FR"/>
              </w:rPr>
              <w:t>Coordination des PR</w:t>
            </w:r>
          </w:p>
          <w:p w14:paraId="26364E4D" w14:textId="6C42A13F" w:rsidR="00203219" w:rsidRDefault="00203219" w:rsidP="0019513D">
            <w:pPr>
              <w:pStyle w:val="Texteformulaire"/>
            </w:pPr>
            <w:r>
              <w:t xml:space="preserve">La coordination entre les deux PR sera </w:t>
            </w:r>
            <w:proofErr w:type="spellStart"/>
            <w:r>
              <w:t>poursuivie</w:t>
            </w:r>
            <w:proofErr w:type="spellEnd"/>
            <w:r>
              <w:t xml:space="preserve"> et </w:t>
            </w:r>
            <w:proofErr w:type="spellStart"/>
            <w:r>
              <w:t>renforcée</w:t>
            </w:r>
            <w:proofErr w:type="spellEnd"/>
            <w:r>
              <w:t xml:space="preserve">, sur la base de la collaboration </w:t>
            </w:r>
            <w:proofErr w:type="spellStart"/>
            <w:r>
              <w:t>étroite</w:t>
            </w:r>
            <w:proofErr w:type="spellEnd"/>
            <w:r>
              <w:t xml:space="preserve"> déjà </w:t>
            </w:r>
            <w:proofErr w:type="spellStart"/>
            <w:r>
              <w:t>existante</w:t>
            </w:r>
            <w:proofErr w:type="spellEnd"/>
            <w:r>
              <w:t xml:space="preserve">. Une attention </w:t>
            </w:r>
            <w:proofErr w:type="spellStart"/>
            <w:r>
              <w:t>particulière</w:t>
            </w:r>
            <w:proofErr w:type="spellEnd"/>
            <w:r>
              <w:t xml:space="preserve"> sera </w:t>
            </w:r>
            <w:proofErr w:type="spellStart"/>
            <w:r>
              <w:t>portée</w:t>
            </w:r>
            <w:proofErr w:type="spellEnd"/>
            <w:r>
              <w:t xml:space="preserve"> à la participation active et </w:t>
            </w:r>
            <w:proofErr w:type="spellStart"/>
            <w:r>
              <w:t>régulière</w:t>
            </w:r>
            <w:proofErr w:type="spellEnd"/>
            <w:r>
              <w:t xml:space="preserve"> du PR </w:t>
            </w:r>
            <w:proofErr w:type="spellStart"/>
            <w:r>
              <w:t>communautaire</w:t>
            </w:r>
            <w:proofErr w:type="spellEnd"/>
            <w:r>
              <w:t xml:space="preserve"> à </w:t>
            </w:r>
            <w:proofErr w:type="spellStart"/>
            <w:r>
              <w:t>tous</w:t>
            </w:r>
            <w:proofErr w:type="spellEnd"/>
            <w:r>
              <w:t xml:space="preserve"> les </w:t>
            </w:r>
            <w:proofErr w:type="spellStart"/>
            <w:r>
              <w:t>groupes</w:t>
            </w:r>
            <w:proofErr w:type="spellEnd"/>
            <w:r>
              <w:t xml:space="preserve"> techniques de travail mis </w:t>
            </w:r>
            <w:proofErr w:type="spellStart"/>
            <w:r>
              <w:t>en</w:t>
            </w:r>
            <w:proofErr w:type="spellEnd"/>
            <w:r>
              <w:t xml:space="preserve"> p</w:t>
            </w:r>
            <w:r w:rsidR="006D3AB9">
              <w:t>l</w:t>
            </w:r>
            <w:r>
              <w:t xml:space="preserve">ace par le PNLS. </w:t>
            </w:r>
          </w:p>
          <w:p w14:paraId="2E7991EF" w14:textId="4BBE1156" w:rsidR="006D3AB9" w:rsidRDefault="00203219" w:rsidP="0019513D">
            <w:pPr>
              <w:pStyle w:val="Texteformulaire"/>
            </w:pPr>
            <w:r>
              <w:t xml:space="preserve">Les </w:t>
            </w:r>
            <w:proofErr w:type="spellStart"/>
            <w:r>
              <w:t>activités</w:t>
            </w:r>
            <w:proofErr w:type="spellEnd"/>
            <w:r>
              <w:t xml:space="preserve"> de supervision </w:t>
            </w:r>
            <w:proofErr w:type="spellStart"/>
            <w:r>
              <w:t>seront</w:t>
            </w:r>
            <w:proofErr w:type="spellEnd"/>
            <w:r>
              <w:t xml:space="preserve"> </w:t>
            </w:r>
            <w:proofErr w:type="spellStart"/>
            <w:r>
              <w:t>systématiquement</w:t>
            </w:r>
            <w:proofErr w:type="spellEnd"/>
            <w:r>
              <w:t xml:space="preserve"> </w:t>
            </w:r>
            <w:proofErr w:type="spellStart"/>
            <w:r>
              <w:t>organisées</w:t>
            </w:r>
            <w:proofErr w:type="spellEnd"/>
            <w:r>
              <w:t xml:space="preserve"> de </w:t>
            </w:r>
            <w:proofErr w:type="spellStart"/>
            <w:r>
              <w:t>façon</w:t>
            </w:r>
            <w:proofErr w:type="spellEnd"/>
            <w:r>
              <w:t xml:space="preserve"> </w:t>
            </w:r>
            <w:proofErr w:type="spellStart"/>
            <w:r>
              <w:t>intégrée</w:t>
            </w:r>
            <w:proofErr w:type="spellEnd"/>
            <w:r>
              <w:t xml:space="preserve"> par les 2 PRs </w:t>
            </w:r>
            <w:proofErr w:type="spellStart"/>
            <w:r>
              <w:t>quand</w:t>
            </w:r>
            <w:proofErr w:type="spellEnd"/>
            <w:r>
              <w:t xml:space="preserve"> les interventions </w:t>
            </w:r>
            <w:proofErr w:type="spellStart"/>
            <w:r>
              <w:t>mobiliseront</w:t>
            </w:r>
            <w:proofErr w:type="spellEnd"/>
            <w:r>
              <w:t xml:space="preserve"> </w:t>
            </w:r>
            <w:proofErr w:type="spellStart"/>
            <w:r>
              <w:t>leurs</w:t>
            </w:r>
            <w:proofErr w:type="spellEnd"/>
            <w:r>
              <w:t xml:space="preserve"> concours </w:t>
            </w:r>
            <w:proofErr w:type="spellStart"/>
            <w:r>
              <w:t>communs</w:t>
            </w:r>
            <w:proofErr w:type="spellEnd"/>
            <w:r>
              <w:t>.</w:t>
            </w:r>
            <w:r w:rsidR="006D3AB9">
              <w:t xml:space="preserve"> </w:t>
            </w:r>
          </w:p>
          <w:p w14:paraId="175FC51C" w14:textId="0666AE4A" w:rsidR="006D3AB9" w:rsidRPr="0019513D" w:rsidRDefault="006D3AB9" w:rsidP="0019513D">
            <w:pPr>
              <w:pStyle w:val="Texteformulaire"/>
            </w:pPr>
            <w:r>
              <w:t xml:space="preserve">Les </w:t>
            </w:r>
            <w:proofErr w:type="spellStart"/>
            <w:r>
              <w:t>activités</w:t>
            </w:r>
            <w:proofErr w:type="spellEnd"/>
            <w:r>
              <w:t xml:space="preserve"> de </w:t>
            </w:r>
            <w:proofErr w:type="spellStart"/>
            <w:r>
              <w:t>suivi</w:t>
            </w:r>
            <w:proofErr w:type="spellEnd"/>
            <w:r>
              <w:t xml:space="preserve"> et </w:t>
            </w:r>
            <w:proofErr w:type="spellStart"/>
            <w:r>
              <w:t>évaluation</w:t>
            </w:r>
            <w:proofErr w:type="spellEnd"/>
            <w:r>
              <w:t xml:space="preserve"> de la mise </w:t>
            </w:r>
            <w:proofErr w:type="spellStart"/>
            <w:r>
              <w:t>en</w:t>
            </w:r>
            <w:proofErr w:type="spellEnd"/>
            <w:r>
              <w:t xml:space="preserve"> </w:t>
            </w:r>
            <w:proofErr w:type="spellStart"/>
            <w:r>
              <w:t>œuvre</w:t>
            </w:r>
            <w:proofErr w:type="spellEnd"/>
            <w:r>
              <w:t xml:space="preserve"> du Plan </w:t>
            </w:r>
            <w:proofErr w:type="spellStart"/>
            <w:r>
              <w:t>Opérationnel</w:t>
            </w:r>
            <w:proofErr w:type="spellEnd"/>
            <w:r>
              <w:t xml:space="preserve"> du PSN, de revue de la mise oeuvre du PSN et revues </w:t>
            </w:r>
            <w:proofErr w:type="spellStart"/>
            <w:r>
              <w:t>thématiques</w:t>
            </w:r>
            <w:proofErr w:type="spellEnd"/>
            <w:r>
              <w:t xml:space="preserve"> (</w:t>
            </w:r>
            <w:proofErr w:type="spellStart"/>
            <w:r>
              <w:t>Indice</w:t>
            </w:r>
            <w:proofErr w:type="spellEnd"/>
            <w:r>
              <w:t xml:space="preserve"> de </w:t>
            </w:r>
            <w:proofErr w:type="spellStart"/>
            <w:r>
              <w:t>Stigmatisation</w:t>
            </w:r>
            <w:proofErr w:type="spellEnd"/>
            <w:r>
              <w:t xml:space="preserve">, Plan </w:t>
            </w:r>
            <w:proofErr w:type="spellStart"/>
            <w:r>
              <w:t>Quinquenal</w:t>
            </w:r>
            <w:proofErr w:type="spellEnd"/>
            <w:r>
              <w:t xml:space="preserve"> DH VIH/TB, </w:t>
            </w:r>
            <w:proofErr w:type="spellStart"/>
            <w:r>
              <w:t>Bilan</w:t>
            </w:r>
            <w:proofErr w:type="spellEnd"/>
            <w:r>
              <w:t xml:space="preserve"> </w:t>
            </w:r>
            <w:proofErr w:type="spellStart"/>
            <w:r>
              <w:t>annuel</w:t>
            </w:r>
            <w:proofErr w:type="spellEnd"/>
            <w:r>
              <w:t xml:space="preserve"> des interventions à </w:t>
            </w:r>
            <w:proofErr w:type="spellStart"/>
            <w:r>
              <w:t>l’endroit</w:t>
            </w:r>
            <w:proofErr w:type="spellEnd"/>
            <w:r>
              <w:t xml:space="preserve"> des KPs, etc.) </w:t>
            </w:r>
            <w:proofErr w:type="spellStart"/>
            <w:r w:rsidR="00603FAD">
              <w:t>associeront</w:t>
            </w:r>
            <w:proofErr w:type="spellEnd"/>
            <w:r w:rsidR="00603FAD">
              <w:t xml:space="preserve"> </w:t>
            </w:r>
            <w:proofErr w:type="spellStart"/>
            <w:r w:rsidR="00603FAD">
              <w:t>systémétiquement</w:t>
            </w:r>
            <w:proofErr w:type="spellEnd"/>
            <w:r w:rsidR="00603FAD">
              <w:t xml:space="preserve"> les 2 PRs.</w:t>
            </w:r>
          </w:p>
        </w:tc>
      </w:tr>
    </w:tbl>
    <w:p w14:paraId="7E117724" w14:textId="77777777" w:rsidR="00267D16" w:rsidRPr="00474FC8" w:rsidRDefault="00267D16" w:rsidP="00267D16">
      <w:pPr>
        <w:spacing w:after="0" w:line="260" w:lineRule="atLeast"/>
      </w:pPr>
    </w:p>
    <w:p w14:paraId="7F14AE37" w14:textId="77777777" w:rsidR="00267D16" w:rsidRPr="00D236CA" w:rsidRDefault="00267D16" w:rsidP="00267D16">
      <w:pPr>
        <w:pStyle w:val="ListParagraph"/>
        <w:numPr>
          <w:ilvl w:val="0"/>
          <w:numId w:val="22"/>
        </w:numPr>
        <w:spacing w:after="0" w:line="260" w:lineRule="atLeast"/>
        <w:ind w:left="450" w:hanging="450"/>
      </w:pPr>
      <w:r w:rsidRPr="004F1255">
        <w:rPr>
          <w:lang w:bidi="fr-FR"/>
        </w:rPr>
        <w:t xml:space="preserve">Décrire le rôle que les </w:t>
      </w:r>
      <w:r w:rsidRPr="004F1255">
        <w:rPr>
          <w:b/>
          <w:lang w:bidi="fr-FR"/>
        </w:rPr>
        <w:t>organisations communautaires</w:t>
      </w:r>
      <w:r w:rsidRPr="004F1255">
        <w:rPr>
          <w:lang w:bidi="fr-FR"/>
        </w:rPr>
        <w:t xml:space="preserve"> joueront en vertu des modalités de mise en œuvre.</w:t>
      </w:r>
    </w:p>
    <w:p w14:paraId="576C63D9" w14:textId="77777777" w:rsidR="00267D16" w:rsidRPr="00D236CA" w:rsidRDefault="00267D16" w:rsidP="00267D16">
      <w:pPr>
        <w:pStyle w:val="ListParagraph"/>
        <w:spacing w:after="0" w:line="260" w:lineRule="atLeast"/>
        <w:ind w:left="450"/>
      </w:pPr>
    </w:p>
    <w:tbl>
      <w:tblPr>
        <w:tblStyle w:val="TableGrid"/>
        <w:tblW w:w="5000" w:type="pct"/>
        <w:tblLook w:val="04A0" w:firstRow="1" w:lastRow="0" w:firstColumn="1" w:lastColumn="0" w:noHBand="0" w:noVBand="1"/>
      </w:tblPr>
      <w:tblGrid>
        <w:gridCol w:w="10456"/>
      </w:tblGrid>
      <w:tr w:rsidR="00267D16" w:rsidRPr="00E2627C" w14:paraId="4FDFE129" w14:textId="77777777" w:rsidTr="006603FF">
        <w:tc>
          <w:tcPr>
            <w:tcW w:w="5000" w:type="pct"/>
          </w:tcPr>
          <w:p w14:paraId="3DE02C7C" w14:textId="2497C3C4" w:rsidR="00267D16" w:rsidRPr="000C74FA" w:rsidRDefault="00267D16" w:rsidP="006603FF">
            <w:pPr>
              <w:pStyle w:val="NormalNoSpace"/>
              <w:rPr>
                <w:lang w:val="fr-FR"/>
              </w:rPr>
            </w:pPr>
            <w:r w:rsidRPr="000C74FA">
              <w:rPr>
                <w:lang w:val="fr-FR"/>
              </w:rPr>
              <w:t>Dans le souci d’impulser, d’organiser et de coordonner la Santé Communautaire de façon plus intégrée et efficace, l</w:t>
            </w:r>
            <w:r w:rsidR="00603FAD">
              <w:rPr>
                <w:lang w:val="fr-FR"/>
              </w:rPr>
              <w:t>a</w:t>
            </w:r>
            <w:r w:rsidRPr="000C74FA">
              <w:rPr>
                <w:lang w:val="fr-FR"/>
              </w:rPr>
              <w:t xml:space="preserve"> </w:t>
            </w:r>
            <w:r w:rsidR="00603FAD" w:rsidRPr="000C74FA">
              <w:rPr>
                <w:lang w:val="fr-FR"/>
              </w:rPr>
              <w:t>DSC</w:t>
            </w:r>
            <w:r w:rsidR="00603FAD">
              <w:rPr>
                <w:lang w:val="fr-FR"/>
              </w:rPr>
              <w:t>/</w:t>
            </w:r>
            <w:r w:rsidRPr="000C74FA">
              <w:rPr>
                <w:lang w:val="fr-FR"/>
              </w:rPr>
              <w:t>MSHP</w:t>
            </w:r>
            <w:r w:rsidR="00603FAD">
              <w:rPr>
                <w:lang w:val="fr-FR"/>
              </w:rPr>
              <w:t xml:space="preserve"> </w:t>
            </w:r>
            <w:r w:rsidRPr="000C74FA">
              <w:rPr>
                <w:lang w:val="fr-FR"/>
              </w:rPr>
              <w:t xml:space="preserve">a élaboré un Plan Stratégique National de la Santé Communautaire </w:t>
            </w:r>
            <w:r w:rsidR="00603FAD" w:rsidRPr="000C74FA">
              <w:rPr>
                <w:lang w:val="fr-FR"/>
              </w:rPr>
              <w:t>(</w:t>
            </w:r>
            <w:bookmarkStart w:id="26" w:name="_Hlk41671580"/>
            <w:r w:rsidR="00603FAD" w:rsidRPr="000C74FA">
              <w:rPr>
                <w:lang w:val="fr-FR"/>
              </w:rPr>
              <w:t>PSN</w:t>
            </w:r>
            <w:r w:rsidR="00603FAD">
              <w:rPr>
                <w:lang w:val="fr-FR"/>
              </w:rPr>
              <w:t>SC</w:t>
            </w:r>
            <w:bookmarkEnd w:id="26"/>
            <w:r w:rsidR="00603FAD" w:rsidRPr="000C74FA">
              <w:rPr>
                <w:lang w:val="fr-FR"/>
              </w:rPr>
              <w:t xml:space="preserve">) </w:t>
            </w:r>
            <w:r w:rsidRPr="000C74FA">
              <w:rPr>
                <w:lang w:val="fr-FR"/>
              </w:rPr>
              <w:t>couvrant la période 2017-2021</w:t>
            </w:r>
            <w:r w:rsidR="00C21C56">
              <w:rPr>
                <w:lang w:val="fr-FR"/>
              </w:rPr>
              <w:t xml:space="preserve"> </w:t>
            </w:r>
            <w:r w:rsidR="00080EE0" w:rsidRPr="00080EE0">
              <w:rPr>
                <w:i/>
                <w:iCs/>
                <w:lang w:val="fr-FR"/>
              </w:rPr>
              <w:t>(</w:t>
            </w:r>
            <w:r w:rsidR="00C21C56" w:rsidRPr="00080EE0">
              <w:rPr>
                <w:i/>
                <w:iCs/>
                <w:lang w:val="fr-FR"/>
              </w:rPr>
              <w:t>Annexe 3</w:t>
            </w:r>
            <w:r w:rsidR="00080EE0">
              <w:rPr>
                <w:i/>
                <w:iCs/>
                <w:lang w:val="fr-FR"/>
              </w:rPr>
              <w:t>6)</w:t>
            </w:r>
            <w:r w:rsidR="00C21C56">
              <w:rPr>
                <w:lang w:val="fr-FR"/>
              </w:rPr>
              <w:t>.</w:t>
            </w:r>
            <w:r w:rsidRPr="000C74FA">
              <w:rPr>
                <w:lang w:val="fr-FR"/>
              </w:rPr>
              <w:t xml:space="preserve"> Ce document est un outil de régulation et d’orientation des initiatives communautaires. Les interventions communautaires d’Alliance Côte d’Ivoire s’aligneront sur la stratégie nationale de santé communautaire. </w:t>
            </w:r>
          </w:p>
          <w:p w14:paraId="5C175634" w14:textId="6B0BE651" w:rsidR="00267D16" w:rsidRPr="000C74FA" w:rsidRDefault="00267D16" w:rsidP="006603FF">
            <w:pPr>
              <w:pStyle w:val="NormalNoSpace"/>
              <w:rPr>
                <w:lang w:val="fr-FR"/>
              </w:rPr>
            </w:pPr>
            <w:r w:rsidRPr="000C74FA">
              <w:rPr>
                <w:lang w:val="fr-FR"/>
              </w:rPr>
              <w:t>Pour la mise en œuvre des interventions, Alliance Côte d’Ivoire contractualisera avec 06 SR et 02 prestataires</w:t>
            </w:r>
            <w:r w:rsidR="00603FAD">
              <w:rPr>
                <w:lang w:val="fr-FR"/>
              </w:rPr>
              <w:t xml:space="preserve"> </w:t>
            </w:r>
            <w:r w:rsidRPr="000C74FA">
              <w:rPr>
                <w:lang w:val="fr-FR"/>
              </w:rPr>
              <w:t>:</w:t>
            </w:r>
          </w:p>
          <w:p w14:paraId="0652FBD6" w14:textId="428F95AE" w:rsidR="00267D16" w:rsidRPr="000C74FA" w:rsidRDefault="00267D16" w:rsidP="006603FF">
            <w:pPr>
              <w:pStyle w:val="liste1"/>
            </w:pPr>
            <w:r w:rsidRPr="000C74FA">
              <w:t>04 SR pour les populations vulnérables</w:t>
            </w:r>
            <w:r w:rsidR="00603FAD">
              <w:t>,</w:t>
            </w:r>
            <w:r w:rsidRPr="000C74FA">
              <w:t xml:space="preserve"> dont 01 représenté par le sous bureau d’Alliance Côte d’Ivoire de Daloa ;</w:t>
            </w:r>
          </w:p>
          <w:p w14:paraId="3893E648" w14:textId="32DA905E" w:rsidR="00267D16" w:rsidRPr="000C74FA" w:rsidRDefault="00267D16" w:rsidP="006603FF">
            <w:pPr>
              <w:pStyle w:val="liste1"/>
            </w:pPr>
            <w:r w:rsidRPr="000C74FA">
              <w:t>01 SR Droit Humain</w:t>
            </w:r>
            <w:r w:rsidR="00603FAD">
              <w:t>,</w:t>
            </w:r>
            <w:r w:rsidRPr="000C74FA">
              <w:t xml:space="preserve"> pour toutes les questions liées aux violations des DH ;</w:t>
            </w:r>
          </w:p>
          <w:p w14:paraId="1CF63213" w14:textId="196E0F8D" w:rsidR="00267D16" w:rsidRPr="000C74FA" w:rsidRDefault="00267D16" w:rsidP="006603FF">
            <w:pPr>
              <w:pStyle w:val="liste1"/>
            </w:pPr>
            <w:r w:rsidRPr="000C74FA">
              <w:t>01 SR pour les TS, HSH et TG ;</w:t>
            </w:r>
          </w:p>
          <w:p w14:paraId="2BEBB52E" w14:textId="67D073E4" w:rsidR="00267D16" w:rsidRPr="000C74FA" w:rsidRDefault="00267D16" w:rsidP="006603FF">
            <w:pPr>
              <w:pStyle w:val="liste1"/>
            </w:pPr>
            <w:r w:rsidRPr="000C74FA">
              <w:t>01 prestataire pour les UD</w:t>
            </w:r>
            <w:r w:rsidR="00DC7A11">
              <w:t>/UDI</w:t>
            </w:r>
            <w:r w:rsidRPr="000C74FA">
              <w:t> ;</w:t>
            </w:r>
          </w:p>
          <w:p w14:paraId="0C927AFC" w14:textId="42FAEDE9" w:rsidR="00267D16" w:rsidRPr="000C74FA" w:rsidRDefault="00267D16" w:rsidP="006603FF">
            <w:pPr>
              <w:pStyle w:val="liste1"/>
            </w:pPr>
            <w:r w:rsidRPr="000C74FA">
              <w:t xml:space="preserve">01 </w:t>
            </w:r>
            <w:r w:rsidR="00DC7A11">
              <w:t>p</w:t>
            </w:r>
            <w:r w:rsidRPr="000C74FA">
              <w:t xml:space="preserve">restataire de service </w:t>
            </w:r>
            <w:r w:rsidR="00DC7A11">
              <w:t xml:space="preserve">en </w:t>
            </w:r>
            <w:r w:rsidRPr="000C74FA">
              <w:t>milieu rural.</w:t>
            </w:r>
          </w:p>
          <w:p w14:paraId="6A84BDC8" w14:textId="5F06D9EF" w:rsidR="00267D16" w:rsidRPr="000C74FA" w:rsidRDefault="00267D16" w:rsidP="006603FF">
            <w:pPr>
              <w:pStyle w:val="NormalNoSpace"/>
              <w:rPr>
                <w:lang w:val="fr-FR"/>
              </w:rPr>
            </w:pPr>
            <w:r w:rsidRPr="000C74FA">
              <w:rPr>
                <w:lang w:val="fr-FR"/>
              </w:rPr>
              <w:t xml:space="preserve">Les SR et les prestataires de services s’appuieront sur les </w:t>
            </w:r>
            <w:proofErr w:type="spellStart"/>
            <w:r w:rsidR="00DC7A11">
              <w:rPr>
                <w:lang w:val="fr-FR"/>
              </w:rPr>
              <w:t>sous-sous</w:t>
            </w:r>
            <w:proofErr w:type="spellEnd"/>
            <w:r w:rsidR="00DC7A11">
              <w:rPr>
                <w:lang w:val="fr-FR"/>
              </w:rPr>
              <w:t xml:space="preserve"> </w:t>
            </w:r>
            <w:proofErr w:type="spellStart"/>
            <w:r w:rsidR="00DC7A11">
              <w:rPr>
                <w:lang w:val="fr-FR"/>
              </w:rPr>
              <w:t>recipiendaires</w:t>
            </w:r>
            <w:proofErr w:type="spellEnd"/>
            <w:r w:rsidR="00DC7A11">
              <w:rPr>
                <w:lang w:val="fr-FR"/>
              </w:rPr>
              <w:t xml:space="preserve"> (</w:t>
            </w:r>
            <w:proofErr w:type="spellStart"/>
            <w:r w:rsidR="00DC7A11">
              <w:rPr>
                <w:lang w:val="fr-FR"/>
              </w:rPr>
              <w:t>s</w:t>
            </w:r>
            <w:r w:rsidRPr="000C74FA">
              <w:rPr>
                <w:lang w:val="fr-FR"/>
              </w:rPr>
              <w:t>SR</w:t>
            </w:r>
            <w:proofErr w:type="spellEnd"/>
            <w:r w:rsidR="00DC7A11">
              <w:rPr>
                <w:lang w:val="fr-FR"/>
              </w:rPr>
              <w:t>),</w:t>
            </w:r>
            <w:r w:rsidRPr="000C74FA">
              <w:rPr>
                <w:lang w:val="fr-FR"/>
              </w:rPr>
              <w:t xml:space="preserve"> qui assureront l’opérationnalisation des activités TB/VIH selon un paquet minimum de service validé avec la DSC pour les trois types d’acteurs communautaires : les ASC-CC, les ASC-PE et les ADR. </w:t>
            </w:r>
          </w:p>
          <w:p w14:paraId="7CB7C4FB" w14:textId="62498996" w:rsidR="00267D16" w:rsidRPr="000C74FA" w:rsidRDefault="00267D16" w:rsidP="006603FF">
            <w:pPr>
              <w:pStyle w:val="NormalNoSpace"/>
              <w:rPr>
                <w:lang w:val="fr-FR"/>
              </w:rPr>
            </w:pPr>
            <w:r w:rsidRPr="000C74FA">
              <w:rPr>
                <w:lang w:val="fr-FR"/>
              </w:rPr>
              <w:t>Les ASC-CC feront le suivi des PVVIH et d</w:t>
            </w:r>
            <w:r w:rsidR="00DC7A11">
              <w:rPr>
                <w:lang w:val="fr-FR"/>
              </w:rPr>
              <w:t>es</w:t>
            </w:r>
            <w:r w:rsidRPr="000C74FA">
              <w:rPr>
                <w:lang w:val="fr-FR"/>
              </w:rPr>
              <w:t xml:space="preserve"> couple</w:t>
            </w:r>
            <w:r w:rsidR="00DC7A11">
              <w:rPr>
                <w:lang w:val="fr-FR"/>
              </w:rPr>
              <w:t>s</w:t>
            </w:r>
            <w:r w:rsidRPr="000C74FA">
              <w:rPr>
                <w:lang w:val="fr-FR"/>
              </w:rPr>
              <w:t xml:space="preserve"> mère</w:t>
            </w:r>
            <w:r w:rsidR="00DC7A11">
              <w:rPr>
                <w:lang w:val="fr-FR"/>
              </w:rPr>
              <w:t>-</w:t>
            </w:r>
            <w:r w:rsidRPr="000C74FA">
              <w:rPr>
                <w:lang w:val="fr-FR"/>
              </w:rPr>
              <w:t xml:space="preserve">enfant. Ils interviendront dans la communauté et dans les centres de prise en charge en leur apportant des </w:t>
            </w:r>
            <w:r w:rsidR="00107968">
              <w:rPr>
                <w:lang w:val="fr-FR"/>
              </w:rPr>
              <w:t>services</w:t>
            </w:r>
            <w:r w:rsidRPr="000C74FA">
              <w:rPr>
                <w:lang w:val="fr-FR"/>
              </w:rPr>
              <w:t xml:space="preserve"> pour leur</w:t>
            </w:r>
            <w:r w:rsidR="00DC7A11">
              <w:rPr>
                <w:lang w:val="fr-FR"/>
              </w:rPr>
              <w:t xml:space="preserve"> rétention dans le</w:t>
            </w:r>
            <w:r w:rsidRPr="000C74FA">
              <w:rPr>
                <w:lang w:val="fr-FR"/>
              </w:rPr>
              <w:t>s soins. Ils contribueront au dépistage en mettant en œuvre l’index-</w:t>
            </w:r>
            <w:proofErr w:type="spellStart"/>
            <w:r w:rsidRPr="000C74FA">
              <w:rPr>
                <w:lang w:val="fr-FR"/>
              </w:rPr>
              <w:t>testing</w:t>
            </w:r>
            <w:proofErr w:type="spellEnd"/>
            <w:r w:rsidRPr="000C74FA">
              <w:rPr>
                <w:lang w:val="fr-FR"/>
              </w:rPr>
              <w:t xml:space="preserve">. Ils assureront la distribution </w:t>
            </w:r>
            <w:r w:rsidRPr="000C74FA">
              <w:rPr>
                <w:lang w:val="fr-FR"/>
              </w:rPr>
              <w:lastRenderedPageBreak/>
              <w:t>communautaire des ARV. Les ASC-CC coordonneront les activités des ASC-PE et assureront leur supervision. Dans le cadre des interventions, les ASC-CC intervenant dans le domaine de la lutte contre le VIH bénéficieront d’une formation pour la recherche de la tuberculose parmi les PVVIH. Ils assureront la référence des cas présumés vers les CAT/CDT pour le diagnostic et éventuellement la PEC. Ils travailleront en étroite collaboration avec les ASC Coachs</w:t>
            </w:r>
            <w:r w:rsidR="00107968">
              <w:rPr>
                <w:lang w:val="fr-FR"/>
              </w:rPr>
              <w:t>-TB</w:t>
            </w:r>
            <w:r w:rsidRPr="000C74FA">
              <w:rPr>
                <w:lang w:val="fr-FR"/>
              </w:rPr>
              <w:t xml:space="preserve"> dans le cadre du suivi communautaire </w:t>
            </w:r>
            <w:r w:rsidR="00107968" w:rsidRPr="000C74FA">
              <w:rPr>
                <w:lang w:val="fr-FR"/>
              </w:rPr>
              <w:t>d</w:t>
            </w:r>
            <w:r w:rsidR="00107968">
              <w:rPr>
                <w:lang w:val="fr-FR"/>
              </w:rPr>
              <w:t>es</w:t>
            </w:r>
            <w:r w:rsidR="00107968" w:rsidRPr="000C74FA">
              <w:rPr>
                <w:lang w:val="fr-FR"/>
              </w:rPr>
              <w:t xml:space="preserve"> </w:t>
            </w:r>
            <w:r w:rsidRPr="000C74FA">
              <w:rPr>
                <w:lang w:val="fr-FR"/>
              </w:rPr>
              <w:t>patient</w:t>
            </w:r>
            <w:r w:rsidR="00107968">
              <w:rPr>
                <w:lang w:val="fr-FR"/>
              </w:rPr>
              <w:t>s</w:t>
            </w:r>
            <w:r w:rsidRPr="000C74FA">
              <w:rPr>
                <w:lang w:val="fr-FR"/>
              </w:rPr>
              <w:t xml:space="preserve"> </w:t>
            </w:r>
            <w:r w:rsidR="00107968">
              <w:rPr>
                <w:lang w:val="fr-FR"/>
              </w:rPr>
              <w:t>coinfectés VIH/TB</w:t>
            </w:r>
            <w:r w:rsidRPr="000C74FA">
              <w:rPr>
                <w:lang w:val="fr-FR"/>
              </w:rPr>
              <w:t>.</w:t>
            </w:r>
          </w:p>
          <w:p w14:paraId="4631B74B" w14:textId="0A74F21C" w:rsidR="00107968" w:rsidRPr="000C74FA" w:rsidRDefault="00107968" w:rsidP="00107968">
            <w:pPr>
              <w:pStyle w:val="NormalNoSpace"/>
              <w:rPr>
                <w:lang w:val="fr-FR"/>
              </w:rPr>
            </w:pPr>
            <w:r w:rsidRPr="000C74FA">
              <w:rPr>
                <w:lang w:val="fr-FR"/>
              </w:rPr>
              <w:t xml:space="preserve">Cette approche intégrée </w:t>
            </w:r>
            <w:r>
              <w:rPr>
                <w:lang w:val="fr-FR"/>
              </w:rPr>
              <w:t xml:space="preserve">VIH/TB </w:t>
            </w:r>
            <w:r w:rsidRPr="000C74FA">
              <w:rPr>
                <w:lang w:val="fr-FR"/>
              </w:rPr>
              <w:t>au paquet minimum de la DSC contribuera à réduire la charge de morbidité tuberculeuse chez les PVVIH et à débuter précocement le TAR</w:t>
            </w:r>
            <w:r>
              <w:rPr>
                <w:lang w:val="fr-FR"/>
              </w:rPr>
              <w:t>V.</w:t>
            </w:r>
            <w:r w:rsidRPr="000C74FA">
              <w:rPr>
                <w:lang w:val="fr-FR"/>
              </w:rPr>
              <w:t xml:space="preserve"> </w:t>
            </w:r>
          </w:p>
          <w:p w14:paraId="1F584095" w14:textId="77777777" w:rsidR="00107968" w:rsidRPr="000C74FA" w:rsidRDefault="00107968" w:rsidP="00107968">
            <w:pPr>
              <w:pStyle w:val="NormalNoSpace"/>
              <w:rPr>
                <w:lang w:val="fr-FR"/>
              </w:rPr>
            </w:pPr>
            <w:r w:rsidRPr="000C74FA">
              <w:rPr>
                <w:lang w:val="fr-FR"/>
              </w:rPr>
              <w:t>Les ADR interviendront en milieu rural avec une attention particulière pour le VIH et la Tuberculose.</w:t>
            </w:r>
          </w:p>
          <w:p w14:paraId="310CDA4E" w14:textId="06F8282C" w:rsidR="00267D16" w:rsidRPr="000C74FA" w:rsidRDefault="00107968" w:rsidP="006603FF">
            <w:pPr>
              <w:pStyle w:val="NormalNoSpace"/>
              <w:rPr>
                <w:lang w:val="fr-FR"/>
              </w:rPr>
            </w:pPr>
            <w:r>
              <w:rPr>
                <w:lang w:val="fr-FR"/>
              </w:rPr>
              <w:t>S</w:t>
            </w:r>
            <w:r w:rsidRPr="000C74FA">
              <w:rPr>
                <w:lang w:val="fr-FR"/>
              </w:rPr>
              <w:t>elon les spécificités des cibles</w:t>
            </w:r>
            <w:r>
              <w:rPr>
                <w:lang w:val="fr-FR"/>
              </w:rPr>
              <w:t>, l</w:t>
            </w:r>
            <w:r w:rsidR="00267D16" w:rsidRPr="000C74FA">
              <w:rPr>
                <w:lang w:val="fr-FR"/>
              </w:rPr>
              <w:t>es ASC</w:t>
            </w:r>
            <w:r>
              <w:rPr>
                <w:lang w:val="fr-FR"/>
              </w:rPr>
              <w:t>-</w:t>
            </w:r>
            <w:r w:rsidR="00267D16" w:rsidRPr="000C74FA">
              <w:rPr>
                <w:lang w:val="fr-FR"/>
              </w:rPr>
              <w:t>PE mèneront des activités de prévention combinée pour l’accès et l’utilisation des services en vue de réduire les nouvelles infections. Leurs activités de sensibilisation ser</w:t>
            </w:r>
            <w:r>
              <w:rPr>
                <w:lang w:val="fr-FR"/>
              </w:rPr>
              <w:t>ont</w:t>
            </w:r>
            <w:r w:rsidR="00267D16" w:rsidRPr="000C74FA">
              <w:rPr>
                <w:lang w:val="fr-FR"/>
              </w:rPr>
              <w:t xml:space="preserve"> couplée</w:t>
            </w:r>
            <w:r>
              <w:rPr>
                <w:lang w:val="fr-FR"/>
              </w:rPr>
              <w:t>s</w:t>
            </w:r>
            <w:r w:rsidR="00267D16" w:rsidRPr="000C74FA">
              <w:rPr>
                <w:lang w:val="fr-FR"/>
              </w:rPr>
              <w:t xml:space="preserve"> au dépistage selon une approche multi-maladie. Ils veilleront à la référence active des personnes dépistés positives pour </w:t>
            </w:r>
            <w:r>
              <w:rPr>
                <w:lang w:val="fr-FR"/>
              </w:rPr>
              <w:t>le lien au traitement</w:t>
            </w:r>
            <w:r w:rsidR="00267D16" w:rsidRPr="000C74FA">
              <w:rPr>
                <w:lang w:val="fr-FR"/>
              </w:rPr>
              <w:t>.</w:t>
            </w:r>
          </w:p>
          <w:p w14:paraId="3BCDEFAD" w14:textId="38307CF0" w:rsidR="00267D16" w:rsidRPr="000C74FA" w:rsidRDefault="00267D16" w:rsidP="006603FF">
            <w:pPr>
              <w:pStyle w:val="NormalNoSpace"/>
              <w:rPr>
                <w:lang w:val="fr-FR"/>
              </w:rPr>
            </w:pPr>
            <w:r w:rsidRPr="000C74FA">
              <w:rPr>
                <w:lang w:val="fr-FR"/>
              </w:rPr>
              <w:t>Les interventions DH seront adressées au niveau opérationnel par deux types d’acteurs : les délégués régionaux et les parajuristes</w:t>
            </w:r>
            <w:r w:rsidR="00107968">
              <w:rPr>
                <w:lang w:val="fr-FR"/>
              </w:rPr>
              <w:t> :</w:t>
            </w:r>
          </w:p>
          <w:p w14:paraId="6670A5D3" w14:textId="1E0C895B" w:rsidR="00267D16" w:rsidRPr="000C74FA" w:rsidRDefault="00267D16" w:rsidP="006603FF">
            <w:pPr>
              <w:pStyle w:val="liste1"/>
            </w:pPr>
            <w:r w:rsidRPr="000C74FA">
              <w:t xml:space="preserve">Les Parajuristes seront chargés de faire l’identification, la notification </w:t>
            </w:r>
            <w:r w:rsidR="00107968" w:rsidRPr="000C74FA">
              <w:t xml:space="preserve">des cas de violation des DH </w:t>
            </w:r>
            <w:r w:rsidRPr="000C74FA">
              <w:t xml:space="preserve">et d’apporter un appui à la </w:t>
            </w:r>
            <w:r w:rsidR="00107968">
              <w:t>prise en charge des cas ;</w:t>
            </w:r>
            <w:r w:rsidRPr="000C74FA">
              <w:t xml:space="preserve"> </w:t>
            </w:r>
          </w:p>
          <w:p w14:paraId="0A9671AA" w14:textId="61FE32E9" w:rsidR="00267D16" w:rsidRPr="000C74FA" w:rsidRDefault="00267D16" w:rsidP="006603FF">
            <w:pPr>
              <w:pStyle w:val="liste1"/>
            </w:pPr>
            <w:r w:rsidRPr="000C74FA">
              <w:t>Les délégués régionaux superviseront les parajuristes et auront pour rôle d’assurer la coordination, la veille et la surveillance communautaire dans la région sanitaire.</w:t>
            </w:r>
          </w:p>
          <w:p w14:paraId="2CFDF09C" w14:textId="77777777" w:rsidR="00267D16" w:rsidRDefault="00267D16" w:rsidP="006603FF">
            <w:pPr>
              <w:pStyle w:val="NormalNoSpace"/>
              <w:rPr>
                <w:lang w:val="fr-FR"/>
              </w:rPr>
            </w:pPr>
            <w:r w:rsidRPr="000C74FA">
              <w:rPr>
                <w:lang w:val="fr-FR"/>
              </w:rPr>
              <w:t xml:space="preserve">Outre ces actions au niveau opérationnel, le SR </w:t>
            </w:r>
            <w:r w:rsidR="00107968">
              <w:rPr>
                <w:lang w:val="fr-FR"/>
              </w:rPr>
              <w:t xml:space="preserve">pour les </w:t>
            </w:r>
            <w:r w:rsidRPr="000C74FA">
              <w:rPr>
                <w:lang w:val="fr-FR"/>
              </w:rPr>
              <w:t xml:space="preserve">DH mènera </w:t>
            </w:r>
            <w:r w:rsidR="00107968" w:rsidRPr="000C74FA">
              <w:rPr>
                <w:lang w:val="fr-FR"/>
              </w:rPr>
              <w:t xml:space="preserve">au niveau central </w:t>
            </w:r>
            <w:r w:rsidRPr="000C74FA">
              <w:rPr>
                <w:lang w:val="fr-FR"/>
              </w:rPr>
              <w:t xml:space="preserve">des actions de </w:t>
            </w:r>
            <w:r w:rsidR="00107968">
              <w:rPr>
                <w:lang w:val="fr-FR"/>
              </w:rPr>
              <w:t>c</w:t>
            </w:r>
            <w:r w:rsidRPr="000C74FA">
              <w:rPr>
                <w:lang w:val="fr-FR"/>
              </w:rPr>
              <w:t>oordination, de plaidoyer pour les r</w:t>
            </w:r>
            <w:r w:rsidR="00107968">
              <w:rPr>
                <w:lang w:val="fr-FR"/>
              </w:rPr>
              <w:t>é</w:t>
            </w:r>
            <w:r w:rsidRPr="000C74FA">
              <w:rPr>
                <w:lang w:val="fr-FR"/>
              </w:rPr>
              <w:t>formes juridiques, de promotion des textes de loi spécifique, d’investigations plus poussées, de sensibilisation et de suivi des interventions.</w:t>
            </w:r>
          </w:p>
          <w:p w14:paraId="50CC7CE3" w14:textId="6E1B2F1D" w:rsidR="000E77C1" w:rsidRPr="000E77C1" w:rsidRDefault="00B23164" w:rsidP="000E77C1">
            <w:pPr>
              <w:pStyle w:val="Texteformulaire"/>
            </w:pPr>
            <w:r>
              <w:rPr>
                <w:color w:val="FF0000"/>
                <w:shd w:val="clear" w:color="auto" w:fill="FFFFFF"/>
              </w:rPr>
              <w:t>Entre le</w:t>
            </w:r>
            <w:r w:rsidRPr="000E77C1">
              <w:rPr>
                <w:color w:val="FF0000"/>
                <w:shd w:val="clear" w:color="auto" w:fill="FFFFFF"/>
              </w:rPr>
              <w:t xml:space="preserve"> NFM2 </w:t>
            </w:r>
            <w:r>
              <w:rPr>
                <w:color w:val="FF0000"/>
                <w:shd w:val="clear" w:color="auto" w:fill="FFFFFF"/>
              </w:rPr>
              <w:t>et le</w:t>
            </w:r>
            <w:r w:rsidRPr="000E77C1">
              <w:rPr>
                <w:color w:val="FF0000"/>
                <w:shd w:val="clear" w:color="auto" w:fill="FFFFFF"/>
              </w:rPr>
              <w:t xml:space="preserve"> NMF3</w:t>
            </w:r>
            <w:r>
              <w:rPr>
                <w:color w:val="FF0000"/>
                <w:shd w:val="clear" w:color="auto" w:fill="FFFFFF"/>
              </w:rPr>
              <w:t>, l</w:t>
            </w:r>
            <w:r w:rsidR="000E77C1" w:rsidRPr="000E77C1">
              <w:rPr>
                <w:color w:val="FF0000"/>
                <w:shd w:val="clear" w:color="auto" w:fill="FFFFFF"/>
              </w:rPr>
              <w:t xml:space="preserve">a couverture des services </w:t>
            </w:r>
            <w:proofErr w:type="spellStart"/>
            <w:r w:rsidR="000E77C1">
              <w:rPr>
                <w:color w:val="FF0000"/>
                <w:shd w:val="clear" w:color="auto" w:fill="FFFFFF"/>
              </w:rPr>
              <w:t>va</w:t>
            </w:r>
            <w:proofErr w:type="spellEnd"/>
            <w:r w:rsidR="000E77C1" w:rsidRPr="000E77C1">
              <w:rPr>
                <w:color w:val="FF0000"/>
                <w:shd w:val="clear" w:color="auto" w:fill="FFFFFF"/>
              </w:rPr>
              <w:t xml:space="preserve"> passer de 29 à 50 DS pour les populations </w:t>
            </w:r>
            <w:proofErr w:type="spellStart"/>
            <w:r w:rsidR="000E77C1" w:rsidRPr="000E77C1">
              <w:rPr>
                <w:color w:val="FF0000"/>
                <w:shd w:val="clear" w:color="auto" w:fill="FFFFFF"/>
              </w:rPr>
              <w:t>clés</w:t>
            </w:r>
            <w:proofErr w:type="spellEnd"/>
            <w:r w:rsidR="000E77C1" w:rsidRPr="000E77C1">
              <w:rPr>
                <w:color w:val="FF0000"/>
                <w:shd w:val="clear" w:color="auto" w:fill="FFFFFF"/>
              </w:rPr>
              <w:t xml:space="preserve"> et </w:t>
            </w:r>
            <w:proofErr w:type="spellStart"/>
            <w:r w:rsidR="000E77C1" w:rsidRPr="000E77C1">
              <w:rPr>
                <w:color w:val="FF0000"/>
                <w:shd w:val="clear" w:color="auto" w:fill="FFFFFF"/>
              </w:rPr>
              <w:t>vulnérables</w:t>
            </w:r>
            <w:proofErr w:type="spellEnd"/>
            <w:r w:rsidR="000E77C1" w:rsidRPr="000E77C1">
              <w:rPr>
                <w:color w:val="FF0000"/>
                <w:shd w:val="clear" w:color="auto" w:fill="FFFFFF"/>
              </w:rPr>
              <w:t xml:space="preserve">, </w:t>
            </w:r>
            <w:proofErr w:type="spellStart"/>
            <w:r w:rsidR="000E77C1" w:rsidRPr="000E77C1">
              <w:rPr>
                <w:color w:val="FF0000"/>
                <w:shd w:val="clear" w:color="auto" w:fill="FFFFFF"/>
              </w:rPr>
              <w:t>ce</w:t>
            </w:r>
            <w:proofErr w:type="spellEnd"/>
            <w:r w:rsidR="000E77C1" w:rsidRPr="000E77C1">
              <w:rPr>
                <w:color w:val="FF0000"/>
                <w:shd w:val="clear" w:color="auto" w:fill="FFFFFF"/>
              </w:rPr>
              <w:t xml:space="preserve"> qui </w:t>
            </w:r>
            <w:proofErr w:type="spellStart"/>
            <w:r w:rsidR="000E77C1" w:rsidRPr="000E77C1">
              <w:rPr>
                <w:color w:val="FF0000"/>
                <w:shd w:val="clear" w:color="auto" w:fill="FFFFFF"/>
              </w:rPr>
              <w:t>nécessite</w:t>
            </w:r>
            <w:proofErr w:type="spellEnd"/>
            <w:r w:rsidR="000E77C1" w:rsidRPr="000E77C1">
              <w:rPr>
                <w:color w:val="FF0000"/>
                <w:shd w:val="clear" w:color="auto" w:fill="FFFFFF"/>
              </w:rPr>
              <w:t xml:space="preserve"> </w:t>
            </w:r>
            <w:proofErr w:type="spellStart"/>
            <w:r w:rsidR="000E77C1" w:rsidRPr="000E77C1">
              <w:rPr>
                <w:color w:val="FF0000"/>
                <w:shd w:val="clear" w:color="auto" w:fill="FFFFFF"/>
              </w:rPr>
              <w:t>une</w:t>
            </w:r>
            <w:proofErr w:type="spellEnd"/>
            <w:r w:rsidR="000E77C1" w:rsidRPr="000E77C1">
              <w:rPr>
                <w:color w:val="FF0000"/>
                <w:shd w:val="clear" w:color="auto" w:fill="FFFFFF"/>
              </w:rPr>
              <w:t xml:space="preserve"> augmentation du </w:t>
            </w:r>
            <w:proofErr w:type="spellStart"/>
            <w:r w:rsidR="000E77C1" w:rsidRPr="000E77C1">
              <w:rPr>
                <w:color w:val="FF0000"/>
                <w:shd w:val="clear" w:color="auto" w:fill="FFFFFF"/>
              </w:rPr>
              <w:t>nombre</w:t>
            </w:r>
            <w:proofErr w:type="spellEnd"/>
            <w:r w:rsidR="000E77C1" w:rsidRPr="000E77C1">
              <w:rPr>
                <w:color w:val="FF0000"/>
                <w:shd w:val="clear" w:color="auto" w:fill="FFFFFF"/>
              </w:rPr>
              <w:t xml:space="preserve"> de </w:t>
            </w:r>
            <w:proofErr w:type="spellStart"/>
            <w:r w:rsidR="000E77C1" w:rsidRPr="000E77C1">
              <w:rPr>
                <w:color w:val="FF0000"/>
                <w:shd w:val="clear" w:color="auto" w:fill="FFFFFF"/>
              </w:rPr>
              <w:t>personnels</w:t>
            </w:r>
            <w:proofErr w:type="spellEnd"/>
            <w:r w:rsidR="000E77C1" w:rsidRPr="000E77C1">
              <w:rPr>
                <w:color w:val="FF0000"/>
                <w:shd w:val="clear" w:color="auto" w:fill="FFFFFF"/>
              </w:rPr>
              <w:t xml:space="preserve"> </w:t>
            </w:r>
            <w:proofErr w:type="spellStart"/>
            <w:r w:rsidR="000E77C1" w:rsidRPr="000E77C1">
              <w:rPr>
                <w:color w:val="FF0000"/>
                <w:shd w:val="clear" w:color="auto" w:fill="FFFFFF"/>
              </w:rPr>
              <w:t>communautaires</w:t>
            </w:r>
            <w:proofErr w:type="spellEnd"/>
            <w:r w:rsidR="000E77C1" w:rsidRPr="000E77C1">
              <w:rPr>
                <w:color w:val="FF0000"/>
                <w:shd w:val="clear" w:color="auto" w:fill="FFFFFF"/>
              </w:rPr>
              <w:t xml:space="preserve"> </w:t>
            </w:r>
            <w:proofErr w:type="spellStart"/>
            <w:r w:rsidR="000E77C1" w:rsidRPr="000E77C1">
              <w:rPr>
                <w:color w:val="FF0000"/>
                <w:shd w:val="clear" w:color="auto" w:fill="FFFFFF"/>
              </w:rPr>
              <w:t>mobilisés</w:t>
            </w:r>
            <w:proofErr w:type="spellEnd"/>
            <w:r w:rsidR="000E77C1" w:rsidRPr="000E77C1">
              <w:rPr>
                <w:color w:val="FF0000"/>
                <w:shd w:val="clear" w:color="auto" w:fill="FFFFFF"/>
              </w:rPr>
              <w:t xml:space="preserve"> sur le terrain</w:t>
            </w:r>
            <w:r w:rsidR="005F6B90">
              <w:rPr>
                <w:color w:val="FF0000"/>
                <w:shd w:val="clear" w:color="auto" w:fill="FFFFFF"/>
              </w:rPr>
              <w:t xml:space="preserve"> (</w:t>
            </w:r>
            <w:proofErr w:type="spellStart"/>
            <w:r w:rsidR="005F6B90">
              <w:rPr>
                <w:color w:val="FF0000"/>
                <w:shd w:val="clear" w:color="auto" w:fill="FFFFFF"/>
              </w:rPr>
              <w:t>sSR</w:t>
            </w:r>
            <w:proofErr w:type="spellEnd"/>
            <w:r w:rsidR="005F6B90">
              <w:rPr>
                <w:color w:val="FF0000"/>
                <w:shd w:val="clear" w:color="auto" w:fill="FFFFFF"/>
              </w:rPr>
              <w:t>, SR, ASC, ADR) et</w:t>
            </w:r>
            <w:r w:rsidR="000E77C1">
              <w:rPr>
                <w:color w:val="FF0000"/>
                <w:shd w:val="clear" w:color="auto" w:fill="FFFFFF"/>
              </w:rPr>
              <w:t xml:space="preserve"> se </w:t>
            </w:r>
            <w:proofErr w:type="spellStart"/>
            <w:r w:rsidR="000E77C1" w:rsidRPr="000E77C1">
              <w:rPr>
                <w:color w:val="FF0000"/>
                <w:shd w:val="clear" w:color="auto" w:fill="FFFFFF"/>
              </w:rPr>
              <w:t>traduit</w:t>
            </w:r>
            <w:proofErr w:type="spellEnd"/>
            <w:r w:rsidR="000E77C1" w:rsidRPr="000E77C1">
              <w:rPr>
                <w:color w:val="FF0000"/>
                <w:shd w:val="clear" w:color="auto" w:fill="FFFFFF"/>
              </w:rPr>
              <w:t xml:space="preserve"> </w:t>
            </w:r>
            <w:proofErr w:type="spellStart"/>
            <w:r w:rsidR="000E77C1" w:rsidRPr="000E77C1">
              <w:rPr>
                <w:color w:val="FF0000"/>
                <w:shd w:val="clear" w:color="auto" w:fill="FFFFFF"/>
              </w:rPr>
              <w:t>logiquement</w:t>
            </w:r>
            <w:proofErr w:type="spellEnd"/>
            <w:r w:rsidR="000E77C1" w:rsidRPr="000E77C1">
              <w:rPr>
                <w:color w:val="FF0000"/>
                <w:shd w:val="clear" w:color="auto" w:fill="FFFFFF"/>
              </w:rPr>
              <w:t xml:space="preserve"> </w:t>
            </w:r>
            <w:r w:rsidR="000E77C1">
              <w:rPr>
                <w:color w:val="FF0000"/>
                <w:shd w:val="clear" w:color="auto" w:fill="FFFFFF"/>
              </w:rPr>
              <w:t>par</w:t>
            </w:r>
            <w:r w:rsidR="000E77C1" w:rsidRPr="000E77C1">
              <w:rPr>
                <w:color w:val="FF0000"/>
                <w:shd w:val="clear" w:color="auto" w:fill="FFFFFF"/>
              </w:rPr>
              <w:t xml:space="preserve"> </w:t>
            </w:r>
            <w:proofErr w:type="spellStart"/>
            <w:r w:rsidR="000E77C1" w:rsidRPr="000E77C1">
              <w:rPr>
                <w:color w:val="FF0000"/>
                <w:shd w:val="clear" w:color="auto" w:fill="FFFFFF"/>
              </w:rPr>
              <w:t>une</w:t>
            </w:r>
            <w:proofErr w:type="spellEnd"/>
            <w:r w:rsidR="000E77C1" w:rsidRPr="000E77C1">
              <w:rPr>
                <w:color w:val="FF0000"/>
                <w:shd w:val="clear" w:color="auto" w:fill="FFFFFF"/>
              </w:rPr>
              <w:t xml:space="preserve"> augmentation du budget </w:t>
            </w:r>
            <w:proofErr w:type="spellStart"/>
            <w:r w:rsidR="000E77C1" w:rsidRPr="000E77C1">
              <w:rPr>
                <w:color w:val="FF0000"/>
                <w:shd w:val="clear" w:color="auto" w:fill="FFFFFF"/>
              </w:rPr>
              <w:t>relatif</w:t>
            </w:r>
            <w:proofErr w:type="spellEnd"/>
            <w:r w:rsidR="000E77C1" w:rsidRPr="000E77C1">
              <w:rPr>
                <w:color w:val="FF0000"/>
                <w:shd w:val="clear" w:color="auto" w:fill="FFFFFF"/>
              </w:rPr>
              <w:t xml:space="preserve"> </w:t>
            </w:r>
            <w:r w:rsidR="005F6B90">
              <w:rPr>
                <w:color w:val="FF0000"/>
                <w:shd w:val="clear" w:color="auto" w:fill="FFFFFF"/>
              </w:rPr>
              <w:t xml:space="preserve">à la </w:t>
            </w:r>
            <w:proofErr w:type="spellStart"/>
            <w:r w:rsidR="005F6B90">
              <w:rPr>
                <w:color w:val="FF0000"/>
                <w:shd w:val="clear" w:color="auto" w:fill="FFFFFF"/>
              </w:rPr>
              <w:t>prise</w:t>
            </w:r>
            <w:proofErr w:type="spellEnd"/>
            <w:r w:rsidR="005F6B90">
              <w:rPr>
                <w:color w:val="FF0000"/>
                <w:shd w:val="clear" w:color="auto" w:fill="FFFFFF"/>
              </w:rPr>
              <w:t xml:space="preserve"> </w:t>
            </w:r>
            <w:proofErr w:type="spellStart"/>
            <w:r w:rsidR="005F6B90">
              <w:rPr>
                <w:color w:val="FF0000"/>
                <w:shd w:val="clear" w:color="auto" w:fill="FFFFFF"/>
              </w:rPr>
              <w:t>en</w:t>
            </w:r>
            <w:proofErr w:type="spellEnd"/>
            <w:r w:rsidR="005F6B90">
              <w:rPr>
                <w:color w:val="FF0000"/>
                <w:shd w:val="clear" w:color="auto" w:fill="FFFFFF"/>
              </w:rPr>
              <w:t xml:space="preserve"> charge de </w:t>
            </w:r>
            <w:proofErr w:type="spellStart"/>
            <w:r w:rsidR="005F6B90">
              <w:rPr>
                <w:color w:val="FF0000"/>
                <w:shd w:val="clear" w:color="auto" w:fill="FFFFFF"/>
              </w:rPr>
              <w:t>ces</w:t>
            </w:r>
            <w:proofErr w:type="spellEnd"/>
            <w:r w:rsidR="005F6B90">
              <w:rPr>
                <w:color w:val="FF0000"/>
                <w:shd w:val="clear" w:color="auto" w:fill="FFFFFF"/>
              </w:rPr>
              <w:t xml:space="preserve"> </w:t>
            </w:r>
            <w:proofErr w:type="spellStart"/>
            <w:r w:rsidR="005F6B90">
              <w:rPr>
                <w:color w:val="FF0000"/>
                <w:shd w:val="clear" w:color="auto" w:fill="FFFFFF"/>
              </w:rPr>
              <w:t>différents</w:t>
            </w:r>
            <w:proofErr w:type="spellEnd"/>
            <w:r w:rsidR="005F6B90">
              <w:rPr>
                <w:color w:val="FF0000"/>
                <w:shd w:val="clear" w:color="auto" w:fill="FFFFFF"/>
              </w:rPr>
              <w:t xml:space="preserve"> </w:t>
            </w:r>
            <w:proofErr w:type="spellStart"/>
            <w:r w:rsidR="005F6B90">
              <w:rPr>
                <w:color w:val="FF0000"/>
                <w:shd w:val="clear" w:color="auto" w:fill="FFFFFF"/>
              </w:rPr>
              <w:t>personnels</w:t>
            </w:r>
            <w:proofErr w:type="spellEnd"/>
            <w:r w:rsidR="000E77C1" w:rsidRPr="000E77C1">
              <w:rPr>
                <w:color w:val="FF0000"/>
                <w:shd w:val="clear" w:color="auto" w:fill="FFFFFF"/>
              </w:rPr>
              <w:t>.</w:t>
            </w:r>
          </w:p>
        </w:tc>
      </w:tr>
    </w:tbl>
    <w:p w14:paraId="5ACDD3C9" w14:textId="77777777" w:rsidR="00267D16" w:rsidRPr="00474FC8" w:rsidRDefault="00267D16" w:rsidP="00267D16">
      <w:pPr>
        <w:spacing w:after="0" w:line="260" w:lineRule="atLeast"/>
      </w:pPr>
    </w:p>
    <w:p w14:paraId="2542A375" w14:textId="77777777" w:rsidR="00267D16" w:rsidRPr="00D236CA" w:rsidRDefault="00267D16" w:rsidP="00267D16">
      <w:pPr>
        <w:pStyle w:val="ListParagraph"/>
        <w:numPr>
          <w:ilvl w:val="0"/>
          <w:numId w:val="22"/>
        </w:numPr>
        <w:spacing w:after="0" w:line="260" w:lineRule="atLeast"/>
        <w:ind w:left="450" w:hanging="450"/>
      </w:pPr>
      <w:r>
        <w:rPr>
          <w:lang w:bidi="fr-FR"/>
        </w:rPr>
        <w:t xml:space="preserve">La présente demande de financement envisage-t-elle le recours à une </w:t>
      </w:r>
      <w:r>
        <w:rPr>
          <w:b/>
          <w:lang w:bidi="fr-FR"/>
        </w:rPr>
        <w:t>plateforme d’investissement conjoint</w:t>
      </w:r>
      <w:r>
        <w:rPr>
          <w:lang w:bidi="fr-FR"/>
        </w:rPr>
        <w:t xml:space="preserve"> avec d’autres institutions ?</w:t>
      </w:r>
    </w:p>
    <w:p w14:paraId="08858664" w14:textId="77777777" w:rsidR="00267D16" w:rsidRPr="00D236CA" w:rsidRDefault="00267D16" w:rsidP="00267D16">
      <w:pPr>
        <w:pStyle w:val="ListParagraph"/>
        <w:spacing w:after="0" w:line="260" w:lineRule="atLeast"/>
        <w:ind w:left="450"/>
      </w:pPr>
    </w:p>
    <w:p w14:paraId="0581575D" w14:textId="77777777" w:rsidR="00267D16" w:rsidRPr="00D236CA" w:rsidRDefault="002B2F80" w:rsidP="00267D16">
      <w:pPr>
        <w:pStyle w:val="ListParagraph"/>
        <w:spacing w:after="0"/>
      </w:pPr>
      <w:sdt>
        <w:sdtPr>
          <w:id w:val="-656227196"/>
          <w14:checkbox>
            <w14:checked w14:val="0"/>
            <w14:checkedState w14:val="2612" w14:font="MS Gothic"/>
            <w14:uncheckedState w14:val="2610" w14:font="MS Gothic"/>
          </w14:checkbox>
        </w:sdtPr>
        <w:sdtEndPr/>
        <w:sdtContent>
          <w:r w:rsidR="00267D16" w:rsidRPr="005305D5">
            <w:rPr>
              <w:rFonts w:ascii="Segoe UI Symbol" w:eastAsia="MS Gothic" w:hAnsi="Segoe UI Symbol" w:cs="Segoe UI Symbol"/>
              <w:lang w:bidi="fr-FR"/>
            </w:rPr>
            <w:t>☐</w:t>
          </w:r>
        </w:sdtContent>
      </w:sdt>
      <w:r w:rsidR="00267D16" w:rsidRPr="005305D5">
        <w:rPr>
          <w:lang w:bidi="fr-FR"/>
        </w:rPr>
        <w:t xml:space="preserve"> Oui         </w:t>
      </w:r>
      <w:sdt>
        <w:sdtPr>
          <w:id w:val="1911419762"/>
          <w14:checkbox>
            <w14:checked w14:val="0"/>
            <w14:checkedState w14:val="2612" w14:font="MS Gothic"/>
            <w14:uncheckedState w14:val="2610" w14:font="MS Gothic"/>
          </w14:checkbox>
        </w:sdtPr>
        <w:sdtEndPr/>
        <w:sdtContent>
          <w:r w:rsidR="00267D16" w:rsidRPr="005305D5">
            <w:rPr>
              <w:rFonts w:ascii="Segoe UI Symbol" w:eastAsia="Segoe UI Symbol" w:hAnsi="Segoe UI Symbol" w:cs="Segoe UI Symbol"/>
              <w:lang w:bidi="fr-FR"/>
            </w:rPr>
            <w:t>☐</w:t>
          </w:r>
        </w:sdtContent>
      </w:sdt>
      <w:r w:rsidR="00267D16" w:rsidRPr="005305D5">
        <w:rPr>
          <w:lang w:bidi="fr-FR"/>
        </w:rPr>
        <w:t xml:space="preserve"> Non</w:t>
      </w:r>
    </w:p>
    <w:p w14:paraId="4E0144A1" w14:textId="77777777" w:rsidR="00267D16" w:rsidRPr="00D236CA" w:rsidRDefault="00267D16" w:rsidP="00267D16">
      <w:pPr>
        <w:pStyle w:val="ListParagraph"/>
        <w:spacing w:after="0"/>
      </w:pPr>
    </w:p>
    <w:p w14:paraId="21B2B705" w14:textId="77777777" w:rsidR="00267D16" w:rsidRPr="00D236CA" w:rsidRDefault="00267D16" w:rsidP="00267D16">
      <w:pPr>
        <w:pStyle w:val="ListParagraph"/>
        <w:spacing w:after="0" w:line="260" w:lineRule="atLeast"/>
        <w:ind w:left="450"/>
      </w:pPr>
      <w:r w:rsidRPr="005305D5">
        <w:rPr>
          <w:lang w:bidi="fr-FR"/>
        </w:rPr>
        <w:t xml:space="preserve">Si </w:t>
      </w:r>
      <w:r w:rsidRPr="005305D5">
        <w:rPr>
          <w:b/>
          <w:lang w:bidi="fr-FR"/>
        </w:rPr>
        <w:t>oui</w:t>
      </w:r>
      <w:r w:rsidRPr="005305D5">
        <w:rPr>
          <w:lang w:bidi="fr-FR"/>
        </w:rPr>
        <w:t>, en décrire les modalités particulières.</w:t>
      </w:r>
    </w:p>
    <w:p w14:paraId="60240F2F" w14:textId="77777777" w:rsidR="00267D16" w:rsidRPr="00D236CA" w:rsidRDefault="00267D16" w:rsidP="00267D16">
      <w:pPr>
        <w:pStyle w:val="ListParagraph"/>
        <w:spacing w:after="0" w:line="260" w:lineRule="atLeast"/>
        <w:ind w:left="450"/>
      </w:pPr>
    </w:p>
    <w:tbl>
      <w:tblPr>
        <w:tblStyle w:val="TableGrid"/>
        <w:tblW w:w="0" w:type="auto"/>
        <w:tblLook w:val="04A0" w:firstRow="1" w:lastRow="0" w:firstColumn="1" w:lastColumn="0" w:noHBand="0" w:noVBand="1"/>
      </w:tblPr>
      <w:tblGrid>
        <w:gridCol w:w="10456"/>
      </w:tblGrid>
      <w:tr w:rsidR="00267D16" w:rsidRPr="005305D5" w14:paraId="5CBA0414" w14:textId="77777777" w:rsidTr="006603FF">
        <w:tc>
          <w:tcPr>
            <w:tcW w:w="10790" w:type="dxa"/>
          </w:tcPr>
          <w:p w14:paraId="34AC9AC3" w14:textId="56DF2B42" w:rsidR="00267D16" w:rsidRPr="005305D5" w:rsidRDefault="00615E40" w:rsidP="00750CA9">
            <w:pPr>
              <w:pStyle w:val="Texteformulaire"/>
            </w:pPr>
            <w:r>
              <w:rPr>
                <w:lang w:bidi="fr-FR"/>
              </w:rPr>
              <w:t xml:space="preserve">Sans </w:t>
            </w:r>
            <w:proofErr w:type="spellStart"/>
            <w:r>
              <w:rPr>
                <w:lang w:bidi="fr-FR"/>
              </w:rPr>
              <w:t>objet</w:t>
            </w:r>
            <w:proofErr w:type="spellEnd"/>
          </w:p>
        </w:tc>
      </w:tr>
    </w:tbl>
    <w:p w14:paraId="673B59EA" w14:textId="77777777" w:rsidR="00267D16" w:rsidRDefault="00267D16" w:rsidP="00267D16">
      <w:pPr>
        <w:spacing w:after="0" w:line="260" w:lineRule="atLeast"/>
      </w:pPr>
    </w:p>
    <w:p w14:paraId="6AF5605D" w14:textId="77777777" w:rsidR="00267D16" w:rsidRDefault="00267D16" w:rsidP="00267D16">
      <w:pPr>
        <w:pStyle w:val="ListParagraph"/>
        <w:numPr>
          <w:ilvl w:val="0"/>
          <w:numId w:val="22"/>
        </w:numPr>
        <w:spacing w:after="0" w:line="240" w:lineRule="atLeast"/>
        <w:ind w:left="450" w:hanging="450"/>
      </w:pPr>
      <w:r w:rsidRPr="00D474E6">
        <w:rPr>
          <w:lang w:bidi="fr-FR"/>
        </w:rPr>
        <w:t>Décrire les</w:t>
      </w:r>
      <w:r w:rsidRPr="00D474E6">
        <w:rPr>
          <w:b/>
          <w:lang w:bidi="fr-FR"/>
        </w:rPr>
        <w:t xml:space="preserve"> principaux risques anticipés de la mise en œuvre</w:t>
      </w:r>
      <w:r w:rsidRPr="00D474E6">
        <w:rPr>
          <w:lang w:bidi="fr-FR"/>
        </w:rPr>
        <w:t xml:space="preserve"> qui sont susceptibles de nuire : </w:t>
      </w:r>
      <w:r w:rsidRPr="00D474E6">
        <w:rPr>
          <w:b/>
          <w:lang w:bidi="fr-FR"/>
        </w:rPr>
        <w:t xml:space="preserve">i) </w:t>
      </w:r>
      <w:r w:rsidRPr="00D474E6">
        <w:rPr>
          <w:lang w:bidi="fr-FR"/>
        </w:rPr>
        <w:t xml:space="preserve">à la réalisation des objectifs du programme soutenu par le Fonds mondial ; </w:t>
      </w:r>
      <w:r>
        <w:rPr>
          <w:lang w:bidi="fr-FR"/>
        </w:rPr>
        <w:t>et/</w:t>
      </w:r>
      <w:r w:rsidRPr="00D474E6">
        <w:rPr>
          <w:lang w:bidi="fr-FR"/>
        </w:rPr>
        <w:t xml:space="preserve">ou </w:t>
      </w:r>
      <w:r w:rsidRPr="00D474E6">
        <w:rPr>
          <w:b/>
          <w:lang w:bidi="fr-FR"/>
        </w:rPr>
        <w:t>ii)</w:t>
      </w:r>
      <w:r w:rsidRPr="00D474E6">
        <w:rPr>
          <w:lang w:bidi="fr-FR"/>
        </w:rPr>
        <w:t> à l’ensemble du système de santé. Décrire ensuite les mesures d’atténuation visant à contrer ces risques et préciser quelle entité en serait chargée.</w:t>
      </w:r>
    </w:p>
    <w:p w14:paraId="627EC160" w14:textId="77777777" w:rsidR="00267D16" w:rsidRDefault="00267D16" w:rsidP="00267D16">
      <w:pPr>
        <w:spacing w:after="0"/>
      </w:pPr>
    </w:p>
    <w:p w14:paraId="1B8ADC01" w14:textId="77777777" w:rsidR="00267D16" w:rsidRPr="00B907A6" w:rsidRDefault="00267D16" w:rsidP="00267D16">
      <w:pPr>
        <w:spacing w:after="0"/>
        <w:rPr>
          <w:bCs/>
        </w:rPr>
      </w:pPr>
      <w:r w:rsidRPr="00B907A6">
        <w:rPr>
          <w:bCs/>
        </w:rPr>
        <w:t>Par ordre de priorité décroissante</w:t>
      </w:r>
      <w:r>
        <w:rPr>
          <w:bCs/>
        </w:rPr>
        <w:t xml:space="preserve"> les principaux risques sont : </w:t>
      </w:r>
      <w:r w:rsidRPr="00B907A6">
        <w:rPr>
          <w:bCs/>
        </w:rPr>
        <w:t xml:space="preserve"> </w:t>
      </w:r>
    </w:p>
    <w:p w14:paraId="3926DA4C" w14:textId="77777777" w:rsidR="00267D16" w:rsidRPr="00D236CA" w:rsidRDefault="00267D16" w:rsidP="00267D16">
      <w:pPr>
        <w:pStyle w:val="ListParagraph"/>
        <w:spacing w:after="0"/>
        <w:ind w:left="450"/>
      </w:pPr>
    </w:p>
    <w:tbl>
      <w:tblPr>
        <w:tblStyle w:val="TableGrid"/>
        <w:tblW w:w="0" w:type="auto"/>
        <w:tblLayout w:type="fixed"/>
        <w:tblLook w:val="04A0" w:firstRow="1" w:lastRow="0" w:firstColumn="1" w:lastColumn="0" w:noHBand="0" w:noVBand="1"/>
      </w:tblPr>
      <w:tblGrid>
        <w:gridCol w:w="2972"/>
        <w:gridCol w:w="5954"/>
        <w:gridCol w:w="1530"/>
      </w:tblGrid>
      <w:tr w:rsidR="00267D16" w14:paraId="427AFFF6" w14:textId="77777777" w:rsidTr="00750CA9">
        <w:tc>
          <w:tcPr>
            <w:tcW w:w="2972" w:type="dxa"/>
            <w:shd w:val="clear" w:color="auto" w:fill="F2F2F2"/>
            <w:vAlign w:val="center"/>
          </w:tcPr>
          <w:p w14:paraId="22915779" w14:textId="77777777" w:rsidR="00267D16" w:rsidRPr="004E7FC0" w:rsidRDefault="00267D16" w:rsidP="006603FF">
            <w:pPr>
              <w:spacing w:after="0"/>
              <w:jc w:val="center"/>
              <w:rPr>
                <w:rFonts w:eastAsia="Times New Roman" w:cs="Arial"/>
                <w:b/>
                <w:sz w:val="22"/>
                <w:szCs w:val="22"/>
                <w:lang w:eastAsia="es-EC"/>
              </w:rPr>
            </w:pPr>
            <w:r w:rsidRPr="004E7FC0">
              <w:rPr>
                <w:rFonts w:eastAsia="Times New Roman" w:cs="Arial"/>
                <w:b/>
                <w:sz w:val="22"/>
                <w:szCs w:val="22"/>
                <w:lang w:bidi="fr-FR"/>
              </w:rPr>
              <w:t>Principaux risques liés à la mise en œuvre</w:t>
            </w:r>
          </w:p>
        </w:tc>
        <w:tc>
          <w:tcPr>
            <w:tcW w:w="5954" w:type="dxa"/>
            <w:shd w:val="clear" w:color="auto" w:fill="F2F2F2"/>
            <w:vAlign w:val="center"/>
          </w:tcPr>
          <w:p w14:paraId="3CD589D5" w14:textId="77777777" w:rsidR="00267D16" w:rsidRPr="001A6D90" w:rsidRDefault="00267D16" w:rsidP="006603FF">
            <w:pPr>
              <w:spacing w:after="0"/>
              <w:jc w:val="center"/>
              <w:rPr>
                <w:rFonts w:eastAsia="Times New Roman" w:cs="Arial"/>
                <w:b/>
                <w:lang w:eastAsia="es-EC"/>
              </w:rPr>
            </w:pPr>
            <w:r w:rsidRPr="001A6D90">
              <w:rPr>
                <w:rFonts w:eastAsia="Times New Roman" w:cs="Arial"/>
                <w:b/>
                <w:lang w:bidi="fr-FR"/>
              </w:rPr>
              <w:t>Mesures d’atténuation correspondantes</w:t>
            </w:r>
          </w:p>
        </w:tc>
        <w:tc>
          <w:tcPr>
            <w:tcW w:w="1530" w:type="dxa"/>
            <w:shd w:val="clear" w:color="auto" w:fill="F2F2F2"/>
            <w:vAlign w:val="center"/>
          </w:tcPr>
          <w:p w14:paraId="67159827" w14:textId="77777777" w:rsidR="00267D16" w:rsidRPr="001A6D90" w:rsidRDefault="00267D16" w:rsidP="006603FF">
            <w:pPr>
              <w:spacing w:after="0"/>
              <w:jc w:val="center"/>
              <w:rPr>
                <w:rFonts w:eastAsia="Times New Roman" w:cs="Arial"/>
                <w:b/>
                <w:lang w:eastAsia="es-EC"/>
              </w:rPr>
            </w:pPr>
            <w:r w:rsidRPr="001A6D90">
              <w:rPr>
                <w:rFonts w:eastAsia="Times New Roman" w:cs="Arial"/>
                <w:b/>
                <w:lang w:bidi="fr-FR"/>
              </w:rPr>
              <w:t>Entité responsable</w:t>
            </w:r>
          </w:p>
        </w:tc>
      </w:tr>
      <w:tr w:rsidR="00267D16" w14:paraId="56FADD78" w14:textId="77777777" w:rsidTr="00750CA9">
        <w:tc>
          <w:tcPr>
            <w:tcW w:w="2972" w:type="dxa"/>
          </w:tcPr>
          <w:p w14:paraId="6763290C" w14:textId="2D431961" w:rsidR="00267D16" w:rsidRPr="004E7FC0" w:rsidRDefault="00267D16" w:rsidP="00750CA9">
            <w:pPr>
              <w:pStyle w:val="Default"/>
              <w:rPr>
                <w:lang w:eastAsia="es-EC"/>
              </w:rPr>
            </w:pPr>
            <w:r w:rsidRPr="004E7FC0">
              <w:rPr>
                <w:b/>
                <w:color w:val="auto"/>
                <w:sz w:val="22"/>
                <w:szCs w:val="22"/>
              </w:rPr>
              <w:t>Qualité des programmes</w:t>
            </w:r>
            <w:r w:rsidR="00DE3655">
              <w:rPr>
                <w:b/>
                <w:color w:val="auto"/>
                <w:sz w:val="22"/>
                <w:szCs w:val="22"/>
              </w:rPr>
              <w:t> </w:t>
            </w:r>
            <w:r w:rsidR="00DE3655" w:rsidRPr="00750CA9">
              <w:rPr>
                <w:bCs/>
                <w:color w:val="auto"/>
                <w:sz w:val="22"/>
                <w:szCs w:val="22"/>
              </w:rPr>
              <w:t xml:space="preserve">: </w:t>
            </w:r>
            <w:proofErr w:type="spellStart"/>
            <w:r w:rsidR="00680D2E">
              <w:rPr>
                <w:bCs/>
                <w:color w:val="auto"/>
                <w:sz w:val="22"/>
                <w:szCs w:val="22"/>
              </w:rPr>
              <w:t>non respect</w:t>
            </w:r>
            <w:proofErr w:type="spellEnd"/>
            <w:r w:rsidR="00680D2E">
              <w:rPr>
                <w:bCs/>
                <w:color w:val="auto"/>
                <w:sz w:val="22"/>
                <w:szCs w:val="22"/>
              </w:rPr>
              <w:t xml:space="preserve"> des directives par les prestataires</w:t>
            </w:r>
          </w:p>
        </w:tc>
        <w:tc>
          <w:tcPr>
            <w:tcW w:w="5954" w:type="dxa"/>
          </w:tcPr>
          <w:p w14:paraId="6DCEA272" w14:textId="3F9D05C5" w:rsidR="00267D16" w:rsidRPr="001A6D90" w:rsidRDefault="00680D2E" w:rsidP="00750CA9">
            <w:pPr>
              <w:pStyle w:val="Texteformulaire"/>
              <w:rPr>
                <w:rFonts w:eastAsia="Times New Roman"/>
                <w:sz w:val="18"/>
                <w:szCs w:val="18"/>
                <w:lang w:eastAsia="es-EC"/>
              </w:rPr>
            </w:pPr>
            <w:proofErr w:type="spellStart"/>
            <w:r w:rsidRPr="00750CA9">
              <w:t>Renforcement</w:t>
            </w:r>
            <w:proofErr w:type="spellEnd"/>
            <w:r w:rsidRPr="00941453">
              <w:t xml:space="preserve"> de </w:t>
            </w:r>
            <w:proofErr w:type="spellStart"/>
            <w:r w:rsidRPr="00941453">
              <w:t>capacité</w:t>
            </w:r>
            <w:proofErr w:type="spellEnd"/>
            <w:r>
              <w:t xml:space="preserve">, </w:t>
            </w:r>
            <w:proofErr w:type="spellStart"/>
            <w:r>
              <w:t>réunions</w:t>
            </w:r>
            <w:proofErr w:type="spellEnd"/>
            <w:r>
              <w:t xml:space="preserve"> de coordination, s</w:t>
            </w:r>
            <w:r w:rsidR="00267D16" w:rsidRPr="00941453">
              <w:t>upervision</w:t>
            </w:r>
            <w:r>
              <w:t xml:space="preserve"> (y </w:t>
            </w:r>
            <w:proofErr w:type="spellStart"/>
            <w:r>
              <w:t>compris</w:t>
            </w:r>
            <w:proofErr w:type="spellEnd"/>
            <w:r>
              <w:t xml:space="preserve"> DQA)</w:t>
            </w:r>
            <w:r w:rsidR="00267D16" w:rsidRPr="00941453">
              <w:t xml:space="preserve"> </w:t>
            </w:r>
            <w:r>
              <w:t xml:space="preserve">et </w:t>
            </w:r>
            <w:r w:rsidR="00267D16" w:rsidRPr="00941453">
              <w:t>coaching</w:t>
            </w:r>
            <w:r>
              <w:t xml:space="preserve">, </w:t>
            </w:r>
            <w:proofErr w:type="spellStart"/>
            <w:r>
              <w:t>sont</w:t>
            </w:r>
            <w:proofErr w:type="spellEnd"/>
            <w:r>
              <w:t xml:space="preserve"> </w:t>
            </w:r>
            <w:proofErr w:type="spellStart"/>
            <w:r>
              <w:t>prévus</w:t>
            </w:r>
            <w:proofErr w:type="spellEnd"/>
            <w:r>
              <w:t xml:space="preserve"> pour </w:t>
            </w:r>
            <w:proofErr w:type="spellStart"/>
            <w:r>
              <w:t>atténuer</w:t>
            </w:r>
            <w:proofErr w:type="spellEnd"/>
            <w:r>
              <w:t xml:space="preserve"> </w:t>
            </w:r>
            <w:proofErr w:type="spellStart"/>
            <w:r>
              <w:t>ce</w:t>
            </w:r>
            <w:proofErr w:type="spellEnd"/>
            <w:r>
              <w:t xml:space="preserve"> </w:t>
            </w:r>
            <w:proofErr w:type="spellStart"/>
            <w:r>
              <w:t>risque</w:t>
            </w:r>
            <w:proofErr w:type="spellEnd"/>
            <w:r w:rsidRPr="00941453">
              <w:t xml:space="preserve"> </w:t>
            </w:r>
            <w:r>
              <w:t>vis-à-vis des</w:t>
            </w:r>
            <w:r w:rsidRPr="00941453">
              <w:t xml:space="preserve"> </w:t>
            </w:r>
            <w:proofErr w:type="spellStart"/>
            <w:r>
              <w:t>prestataires</w:t>
            </w:r>
            <w:proofErr w:type="spellEnd"/>
          </w:p>
        </w:tc>
        <w:tc>
          <w:tcPr>
            <w:tcW w:w="1530" w:type="dxa"/>
          </w:tcPr>
          <w:p w14:paraId="37F6072B" w14:textId="05F336A1" w:rsidR="00680D2E" w:rsidRDefault="00267D16" w:rsidP="00750CA9">
            <w:pPr>
              <w:pStyle w:val="Texteformulaire"/>
            </w:pPr>
            <w:r>
              <w:t>PNLS</w:t>
            </w:r>
            <w:r w:rsidR="00680D2E">
              <w:t>, DRS, DS</w:t>
            </w:r>
          </w:p>
          <w:p w14:paraId="193F9596" w14:textId="5E836CB8" w:rsidR="00267D16" w:rsidRDefault="00267D16" w:rsidP="00750CA9">
            <w:pPr>
              <w:pStyle w:val="Texteformulaire"/>
            </w:pPr>
            <w:r>
              <w:t>A</w:t>
            </w:r>
            <w:r w:rsidR="00680D2E">
              <w:t>lliance Côte d’Ivoire</w:t>
            </w:r>
          </w:p>
          <w:p w14:paraId="0A220A89" w14:textId="5FEF4172" w:rsidR="00680D2E" w:rsidRPr="001A6D90" w:rsidRDefault="00680D2E" w:rsidP="00750CA9">
            <w:pPr>
              <w:pStyle w:val="Texteformulaire"/>
              <w:rPr>
                <w:rFonts w:eastAsia="Times New Roman" w:cs="Arial"/>
                <w:sz w:val="18"/>
                <w:szCs w:val="18"/>
                <w:lang w:eastAsia="es-EC"/>
              </w:rPr>
            </w:pPr>
            <w:r>
              <w:rPr>
                <w:rFonts w:cs="Arial"/>
                <w:lang w:eastAsia="es-EC"/>
              </w:rPr>
              <w:t>CCM</w:t>
            </w:r>
          </w:p>
        </w:tc>
      </w:tr>
      <w:tr w:rsidR="00267D16" w:rsidRPr="00E2627C" w14:paraId="17183B0D" w14:textId="77777777" w:rsidTr="00750CA9">
        <w:tc>
          <w:tcPr>
            <w:tcW w:w="2972" w:type="dxa"/>
          </w:tcPr>
          <w:p w14:paraId="573D63A0" w14:textId="72EEAB74" w:rsidR="00267D16" w:rsidRPr="00750CA9" w:rsidRDefault="00267D16" w:rsidP="006603FF">
            <w:pPr>
              <w:pStyle w:val="Default"/>
              <w:rPr>
                <w:bCs/>
                <w:color w:val="auto"/>
                <w:sz w:val="22"/>
                <w:szCs w:val="22"/>
              </w:rPr>
            </w:pPr>
            <w:r w:rsidRPr="004E7FC0">
              <w:rPr>
                <w:b/>
                <w:color w:val="auto"/>
                <w:sz w:val="22"/>
                <w:szCs w:val="22"/>
              </w:rPr>
              <w:t>Suivi et évaluation</w:t>
            </w:r>
            <w:r w:rsidR="00680D2E" w:rsidRPr="00750CA9">
              <w:rPr>
                <w:bCs/>
                <w:color w:val="auto"/>
                <w:sz w:val="22"/>
                <w:szCs w:val="22"/>
              </w:rPr>
              <w:t> :</w:t>
            </w:r>
            <w:r w:rsidR="00680D2E">
              <w:rPr>
                <w:b/>
                <w:color w:val="auto"/>
                <w:sz w:val="22"/>
                <w:szCs w:val="22"/>
              </w:rPr>
              <w:t xml:space="preserve"> </w:t>
            </w:r>
            <w:r w:rsidR="0071474D" w:rsidRPr="00750CA9">
              <w:rPr>
                <w:bCs/>
                <w:color w:val="auto"/>
                <w:sz w:val="22"/>
                <w:szCs w:val="22"/>
              </w:rPr>
              <w:t>non</w:t>
            </w:r>
            <w:r w:rsidR="0071474D">
              <w:rPr>
                <w:b/>
                <w:color w:val="auto"/>
                <w:sz w:val="22"/>
                <w:szCs w:val="22"/>
              </w:rPr>
              <w:t xml:space="preserve"> </w:t>
            </w:r>
            <w:r w:rsidR="00680D2E" w:rsidRPr="00750CA9">
              <w:rPr>
                <w:bCs/>
                <w:color w:val="auto"/>
                <w:sz w:val="22"/>
                <w:szCs w:val="22"/>
              </w:rPr>
              <w:t>disponibilité de données de qualité (</w:t>
            </w:r>
            <w:r w:rsidR="0071474D">
              <w:rPr>
                <w:bCs/>
                <w:color w:val="auto"/>
                <w:sz w:val="22"/>
                <w:szCs w:val="22"/>
              </w:rPr>
              <w:t xml:space="preserve">absence de </w:t>
            </w:r>
            <w:r w:rsidR="00680D2E" w:rsidRPr="00750CA9">
              <w:rPr>
                <w:bCs/>
                <w:color w:val="auto"/>
                <w:sz w:val="22"/>
                <w:szCs w:val="22"/>
              </w:rPr>
              <w:lastRenderedPageBreak/>
              <w:t xml:space="preserve">complétude, </w:t>
            </w:r>
            <w:r w:rsidR="0071474D">
              <w:rPr>
                <w:bCs/>
                <w:color w:val="auto"/>
                <w:sz w:val="22"/>
                <w:szCs w:val="22"/>
              </w:rPr>
              <w:t xml:space="preserve">de </w:t>
            </w:r>
            <w:r w:rsidR="00680D2E" w:rsidRPr="00750CA9">
              <w:rPr>
                <w:bCs/>
                <w:color w:val="auto"/>
                <w:sz w:val="22"/>
                <w:szCs w:val="22"/>
              </w:rPr>
              <w:t>promptitude</w:t>
            </w:r>
            <w:r w:rsidR="0071474D">
              <w:rPr>
                <w:bCs/>
                <w:color w:val="auto"/>
                <w:sz w:val="22"/>
                <w:szCs w:val="22"/>
              </w:rPr>
              <w:t xml:space="preserve"> ou d’</w:t>
            </w:r>
            <w:r w:rsidR="00680D2E">
              <w:rPr>
                <w:bCs/>
                <w:color w:val="auto"/>
                <w:sz w:val="22"/>
                <w:szCs w:val="22"/>
              </w:rPr>
              <w:t>e</w:t>
            </w:r>
            <w:r w:rsidR="00680D2E" w:rsidRPr="00750CA9">
              <w:rPr>
                <w:bCs/>
                <w:color w:val="auto"/>
                <w:sz w:val="22"/>
                <w:szCs w:val="22"/>
              </w:rPr>
              <w:t>xactitude)</w:t>
            </w:r>
          </w:p>
          <w:p w14:paraId="6923E88F" w14:textId="77777777" w:rsidR="00267D16" w:rsidRPr="004E7FC0" w:rsidRDefault="00267D16" w:rsidP="006603FF">
            <w:pPr>
              <w:spacing w:after="0"/>
              <w:rPr>
                <w:rFonts w:eastAsia="Times New Roman" w:cs="Arial"/>
                <w:sz w:val="22"/>
                <w:szCs w:val="22"/>
                <w:lang w:eastAsia="es-EC"/>
              </w:rPr>
            </w:pPr>
          </w:p>
        </w:tc>
        <w:tc>
          <w:tcPr>
            <w:tcW w:w="5954" w:type="dxa"/>
          </w:tcPr>
          <w:p w14:paraId="219DAFC9" w14:textId="49346E76" w:rsidR="00267D16" w:rsidRPr="007F48BA" w:rsidRDefault="0071474D" w:rsidP="006603FF">
            <w:pPr>
              <w:pStyle w:val="liste1"/>
            </w:pPr>
            <w:r>
              <w:lastRenderedPageBreak/>
              <w:t>Recrutement de gestionnaires de données (à travers le RSSH), v</w:t>
            </w:r>
            <w:r w:rsidR="00267D16" w:rsidRPr="007F48BA">
              <w:t>alidation de données sur site</w:t>
            </w:r>
          </w:p>
          <w:p w14:paraId="5E6D73EA" w14:textId="7454E63A" w:rsidR="0071474D" w:rsidRPr="007F48BA" w:rsidRDefault="00267D16" w:rsidP="00FE1CAA">
            <w:pPr>
              <w:pStyle w:val="liste1"/>
            </w:pPr>
            <w:r w:rsidRPr="007F48BA">
              <w:lastRenderedPageBreak/>
              <w:t>Renforcement des capacités des acteurs sur les logiciels DIHS2, SIGDEP2, e-SIGL</w:t>
            </w:r>
            <w:r w:rsidR="0071474D">
              <w:t xml:space="preserve"> et</w:t>
            </w:r>
            <w:r w:rsidR="00C10958">
              <w:t xml:space="preserve"> i</w:t>
            </w:r>
            <w:r w:rsidR="0071474D" w:rsidRPr="007F48BA">
              <w:t xml:space="preserve">ntégration </w:t>
            </w:r>
            <w:r w:rsidR="0071474D">
              <w:t xml:space="preserve">effective </w:t>
            </w:r>
            <w:r w:rsidR="0071474D" w:rsidRPr="007F48BA">
              <w:t>des données communautaires dans DHIS2</w:t>
            </w:r>
          </w:p>
          <w:p w14:paraId="5358332C" w14:textId="7FEBB276" w:rsidR="00267D16" w:rsidRPr="007F48BA" w:rsidRDefault="0071474D" w:rsidP="00FE1CAA">
            <w:pPr>
              <w:pStyle w:val="liste1"/>
            </w:pPr>
            <w:r>
              <w:t>Supervision, coordination (</w:t>
            </w:r>
            <w:r w:rsidRPr="007F48BA">
              <w:t>DGS, PNLS, D</w:t>
            </w:r>
            <w:r>
              <w:t xml:space="preserve">RS </w:t>
            </w:r>
            <w:r w:rsidRPr="007F48BA">
              <w:t xml:space="preserve">et </w:t>
            </w:r>
            <w:r>
              <w:t>PMO), r</w:t>
            </w:r>
            <w:r w:rsidRPr="007F48BA">
              <w:t xml:space="preserve">enforcement des capacités des acteurs </w:t>
            </w:r>
            <w:r>
              <w:t>et a</w:t>
            </w:r>
            <w:r w:rsidR="00267D16" w:rsidRPr="007F48BA">
              <w:t xml:space="preserve">udit de la qualité des données </w:t>
            </w:r>
          </w:p>
          <w:p w14:paraId="2B0F4DBF" w14:textId="5C680981" w:rsidR="00267D16" w:rsidRPr="003849F0" w:rsidRDefault="0071474D" w:rsidP="006603FF">
            <w:pPr>
              <w:pStyle w:val="liste1"/>
            </w:pPr>
            <w:proofErr w:type="spellStart"/>
            <w:r>
              <w:t>Rétroinformation</w:t>
            </w:r>
            <w:proofErr w:type="spellEnd"/>
            <w:r>
              <w:t xml:space="preserve"> des différents acteurs</w:t>
            </w:r>
          </w:p>
        </w:tc>
        <w:tc>
          <w:tcPr>
            <w:tcW w:w="1530" w:type="dxa"/>
          </w:tcPr>
          <w:p w14:paraId="74B9B510" w14:textId="77777777" w:rsidR="00267D16" w:rsidRPr="00474FC8" w:rsidRDefault="00267D16" w:rsidP="00750CA9">
            <w:pPr>
              <w:pStyle w:val="Texteformulaire"/>
            </w:pPr>
            <w:r w:rsidRPr="00474FC8">
              <w:lastRenderedPageBreak/>
              <w:t xml:space="preserve">PNLS </w:t>
            </w:r>
          </w:p>
          <w:p w14:paraId="13642B97" w14:textId="77777777" w:rsidR="00267D16" w:rsidRPr="00474FC8" w:rsidRDefault="00267D16" w:rsidP="00750CA9">
            <w:pPr>
              <w:pStyle w:val="Texteformulaire"/>
            </w:pPr>
            <w:r w:rsidRPr="00474FC8">
              <w:t>ALLIANCE</w:t>
            </w:r>
          </w:p>
          <w:p w14:paraId="04E8EE3D" w14:textId="77777777" w:rsidR="00267D16" w:rsidRPr="00474FC8" w:rsidRDefault="00267D16" w:rsidP="00750CA9">
            <w:pPr>
              <w:pStyle w:val="Texteformulaire"/>
            </w:pPr>
          </w:p>
          <w:p w14:paraId="77085E58" w14:textId="77777777" w:rsidR="00267D16" w:rsidRPr="00474FC8" w:rsidRDefault="00267D16" w:rsidP="00750CA9">
            <w:pPr>
              <w:pStyle w:val="Texteformulaire"/>
              <w:rPr>
                <w:rFonts w:eastAsia="Times New Roman" w:cs="Arial"/>
                <w:sz w:val="18"/>
                <w:szCs w:val="18"/>
                <w:lang w:eastAsia="es-EC"/>
              </w:rPr>
            </w:pPr>
            <w:proofErr w:type="spellStart"/>
            <w:r w:rsidRPr="00474FC8">
              <w:lastRenderedPageBreak/>
              <w:t>Ministère</w:t>
            </w:r>
            <w:proofErr w:type="spellEnd"/>
            <w:r w:rsidRPr="00474FC8">
              <w:t xml:space="preserve"> de la Santé et de </w:t>
            </w:r>
            <w:proofErr w:type="spellStart"/>
            <w:r w:rsidRPr="00474FC8">
              <w:t>l’Hygiène</w:t>
            </w:r>
            <w:proofErr w:type="spellEnd"/>
            <w:r w:rsidRPr="00474FC8">
              <w:t xml:space="preserve"> </w:t>
            </w:r>
            <w:proofErr w:type="spellStart"/>
            <w:r w:rsidRPr="00474FC8">
              <w:t>Publique</w:t>
            </w:r>
            <w:proofErr w:type="spellEnd"/>
            <w:r w:rsidRPr="00474FC8">
              <w:t xml:space="preserve"> (MSHP)</w:t>
            </w:r>
          </w:p>
        </w:tc>
      </w:tr>
      <w:tr w:rsidR="00267D16" w14:paraId="700EC227" w14:textId="77777777" w:rsidTr="00750CA9">
        <w:tc>
          <w:tcPr>
            <w:tcW w:w="2972" w:type="dxa"/>
          </w:tcPr>
          <w:p w14:paraId="26D3D4E0" w14:textId="780C9EFB" w:rsidR="00267D16" w:rsidRPr="004E7FC0" w:rsidRDefault="00787F35" w:rsidP="006603FF">
            <w:pPr>
              <w:pStyle w:val="Default"/>
              <w:rPr>
                <w:color w:val="FF0000"/>
                <w:sz w:val="22"/>
                <w:szCs w:val="22"/>
              </w:rPr>
            </w:pPr>
            <w:r w:rsidRPr="004E7FC0">
              <w:rPr>
                <w:b/>
                <w:color w:val="auto"/>
                <w:sz w:val="22"/>
                <w:szCs w:val="22"/>
              </w:rPr>
              <w:lastRenderedPageBreak/>
              <w:t xml:space="preserve">Chaîne d’approvisionnement nationale </w:t>
            </w:r>
            <w:r w:rsidR="00267D16" w:rsidRPr="004E7FC0">
              <w:rPr>
                <w:sz w:val="22"/>
                <w:szCs w:val="22"/>
              </w:rPr>
              <w:t>: difficultés en matière d’achats,</w:t>
            </w:r>
            <w:r w:rsidR="00267D16">
              <w:rPr>
                <w:sz w:val="22"/>
                <w:szCs w:val="22"/>
              </w:rPr>
              <w:t xml:space="preserve"> </w:t>
            </w:r>
            <w:r w:rsidR="00267D16" w:rsidRPr="004E7FC0">
              <w:rPr>
                <w:sz w:val="22"/>
                <w:szCs w:val="22"/>
              </w:rPr>
              <w:t>rupture</w:t>
            </w:r>
            <w:r w:rsidR="0071474D">
              <w:rPr>
                <w:sz w:val="22"/>
                <w:szCs w:val="22"/>
              </w:rPr>
              <w:t>s</w:t>
            </w:r>
            <w:r w:rsidR="00267D16" w:rsidRPr="004E7FC0">
              <w:rPr>
                <w:sz w:val="22"/>
                <w:szCs w:val="22"/>
              </w:rPr>
              <w:t xml:space="preserve"> de médicaments et intrants du</w:t>
            </w:r>
            <w:r w:rsidR="0071474D">
              <w:rPr>
                <w:sz w:val="22"/>
                <w:szCs w:val="22"/>
              </w:rPr>
              <w:t>es</w:t>
            </w:r>
            <w:r w:rsidR="00267D16" w:rsidRPr="004E7FC0">
              <w:rPr>
                <w:sz w:val="22"/>
                <w:szCs w:val="22"/>
              </w:rPr>
              <w:t xml:space="preserve"> au retard de mise en place de la notification du budget de l’Etat.</w:t>
            </w:r>
          </w:p>
        </w:tc>
        <w:tc>
          <w:tcPr>
            <w:tcW w:w="5954" w:type="dxa"/>
          </w:tcPr>
          <w:p w14:paraId="279A4AF3" w14:textId="77777777" w:rsidR="00267D16" w:rsidRDefault="00267D16" w:rsidP="006603FF">
            <w:pPr>
              <w:pStyle w:val="liste1"/>
            </w:pPr>
            <w:r w:rsidRPr="007F48BA">
              <w:t>Optimisation et sécurisation des financements de l’Etat pour l’achat des produits de santé</w:t>
            </w:r>
          </w:p>
          <w:p w14:paraId="3A81FD59" w14:textId="77777777" w:rsidR="0071474D" w:rsidRDefault="00267D16" w:rsidP="0071474D">
            <w:pPr>
              <w:pStyle w:val="liste1"/>
            </w:pPr>
            <w:r w:rsidRPr="007F48BA">
              <w:t>Renforcements des capacités en quantification et achat de produits de santé</w:t>
            </w:r>
            <w:r w:rsidR="0071474D" w:rsidRPr="007F48BA">
              <w:t xml:space="preserve"> </w:t>
            </w:r>
          </w:p>
          <w:p w14:paraId="21E0DBB0" w14:textId="04D87162" w:rsidR="0071474D" w:rsidRDefault="0071474D" w:rsidP="00FE1CAA">
            <w:pPr>
              <w:pStyle w:val="liste1"/>
            </w:pPr>
            <w:r w:rsidRPr="007F48BA">
              <w:t>Renforcement des capacités de la CAAPS</w:t>
            </w:r>
            <w:r w:rsidR="00787F35">
              <w:t xml:space="preserve"> et d</w:t>
            </w:r>
            <w:r w:rsidRPr="007F48BA">
              <w:t xml:space="preserve">éconcentration de la </w:t>
            </w:r>
            <w:r w:rsidR="00787F35">
              <w:t>N</w:t>
            </w:r>
            <w:r w:rsidRPr="007F48BA">
              <w:t>PSP</w:t>
            </w:r>
          </w:p>
          <w:p w14:paraId="653A213E" w14:textId="4A58A483" w:rsidR="00267D16" w:rsidRPr="003849F0" w:rsidRDefault="0071474D" w:rsidP="0071474D">
            <w:pPr>
              <w:pStyle w:val="liste1"/>
            </w:pPr>
            <w:r w:rsidRPr="007F48BA">
              <w:t>Amélioration des conditions de stockage des pharmacies des clients directs de la NPSP</w:t>
            </w:r>
          </w:p>
        </w:tc>
        <w:tc>
          <w:tcPr>
            <w:tcW w:w="1530" w:type="dxa"/>
          </w:tcPr>
          <w:p w14:paraId="021A46FB" w14:textId="77777777" w:rsidR="00267D16" w:rsidRDefault="00267D16" w:rsidP="00750CA9">
            <w:pPr>
              <w:pStyle w:val="Texteformulaire"/>
            </w:pPr>
            <w:r w:rsidRPr="007F48BA">
              <w:t>MSHP</w:t>
            </w:r>
          </w:p>
          <w:p w14:paraId="4521BD89" w14:textId="77777777" w:rsidR="00267D16" w:rsidRDefault="00267D16" w:rsidP="00750CA9">
            <w:pPr>
              <w:pStyle w:val="Texteformulaire"/>
            </w:pPr>
            <w:r>
              <w:t>PNLS</w:t>
            </w:r>
          </w:p>
          <w:p w14:paraId="3A710D02" w14:textId="77777777" w:rsidR="00267D16" w:rsidRDefault="00267D16" w:rsidP="00750CA9">
            <w:pPr>
              <w:pStyle w:val="Texteformulaire"/>
            </w:pPr>
            <w:r>
              <w:t>NPSP</w:t>
            </w:r>
          </w:p>
          <w:p w14:paraId="1E0CE736" w14:textId="77777777" w:rsidR="00267D16" w:rsidRPr="001A6D90" w:rsidRDefault="00267D16" w:rsidP="00750CA9">
            <w:pPr>
              <w:pStyle w:val="Texteformulaire"/>
              <w:rPr>
                <w:rFonts w:eastAsia="Times New Roman" w:cs="Arial"/>
                <w:sz w:val="18"/>
                <w:szCs w:val="18"/>
                <w:lang w:eastAsia="es-EC"/>
              </w:rPr>
            </w:pPr>
            <w:r>
              <w:t>CNCAM</w:t>
            </w:r>
          </w:p>
        </w:tc>
      </w:tr>
      <w:tr w:rsidR="00267D16" w14:paraId="260FCE50" w14:textId="77777777" w:rsidTr="00750CA9">
        <w:trPr>
          <w:trHeight w:val="2115"/>
        </w:trPr>
        <w:tc>
          <w:tcPr>
            <w:tcW w:w="2972" w:type="dxa"/>
          </w:tcPr>
          <w:p w14:paraId="7955FE5C" w14:textId="331F068D" w:rsidR="00267D16" w:rsidRPr="004E7FC0" w:rsidRDefault="00267D16" w:rsidP="006603FF">
            <w:pPr>
              <w:pStyle w:val="Default"/>
              <w:rPr>
                <w:b/>
                <w:color w:val="auto"/>
                <w:sz w:val="22"/>
                <w:szCs w:val="22"/>
              </w:rPr>
            </w:pPr>
            <w:r w:rsidRPr="004E7FC0">
              <w:rPr>
                <w:b/>
                <w:color w:val="auto"/>
                <w:sz w:val="22"/>
                <w:szCs w:val="22"/>
              </w:rPr>
              <w:t>Risques liés aux droits humains et au genre :</w:t>
            </w:r>
            <w:r w:rsidR="00787F35">
              <w:rPr>
                <w:b/>
                <w:color w:val="auto"/>
                <w:sz w:val="22"/>
                <w:szCs w:val="22"/>
              </w:rPr>
              <w:t xml:space="preserve"> </w:t>
            </w:r>
            <w:r w:rsidRPr="004E7FC0">
              <w:rPr>
                <w:sz w:val="22"/>
                <w:szCs w:val="22"/>
              </w:rPr>
              <w:t>stigmatisation et discrimination</w:t>
            </w:r>
            <w:r w:rsidR="00787F35">
              <w:rPr>
                <w:sz w:val="22"/>
                <w:szCs w:val="22"/>
              </w:rPr>
              <w:t xml:space="preserve"> des bénéficiaires, existence de b</w:t>
            </w:r>
            <w:r w:rsidRPr="004E7FC0">
              <w:rPr>
                <w:sz w:val="22"/>
                <w:szCs w:val="22"/>
              </w:rPr>
              <w:t>arrières légales</w:t>
            </w:r>
            <w:r w:rsidR="00787F35">
              <w:rPr>
                <w:sz w:val="22"/>
                <w:szCs w:val="22"/>
              </w:rPr>
              <w:t xml:space="preserve"> d’accès aux soins</w:t>
            </w:r>
          </w:p>
        </w:tc>
        <w:tc>
          <w:tcPr>
            <w:tcW w:w="5954" w:type="dxa"/>
          </w:tcPr>
          <w:p w14:paraId="730BFA6B" w14:textId="54C3A9E0" w:rsidR="00267D16" w:rsidRDefault="00267D16" w:rsidP="006603FF">
            <w:pPr>
              <w:pStyle w:val="liste1"/>
            </w:pPr>
            <w:r w:rsidRPr="004C6167">
              <w:t>Extension des observatoires communautaires</w:t>
            </w:r>
            <w:r w:rsidR="00787F35">
              <w:t xml:space="preserve"> des droits liés à la santé</w:t>
            </w:r>
          </w:p>
          <w:p w14:paraId="3D24C037" w14:textId="7E010A6D" w:rsidR="00267D16" w:rsidRPr="007F48BA" w:rsidRDefault="00787F35" w:rsidP="00750CA9">
            <w:pPr>
              <w:pStyle w:val="liste1"/>
            </w:pPr>
            <w:r>
              <w:t>Renforcement des capacités des prestataires et a</w:t>
            </w:r>
            <w:r w:rsidR="00267D16" w:rsidRPr="004C6167">
              <w:t>ccroissement de la sensibilisation</w:t>
            </w:r>
            <w:r>
              <w:t xml:space="preserve"> de l’ensemble des acteurs de la réponse sur les droits des PVVIH et </w:t>
            </w:r>
            <w:proofErr w:type="spellStart"/>
            <w:r>
              <w:t>KPs</w:t>
            </w:r>
            <w:proofErr w:type="spellEnd"/>
          </w:p>
        </w:tc>
        <w:tc>
          <w:tcPr>
            <w:tcW w:w="1530" w:type="dxa"/>
          </w:tcPr>
          <w:p w14:paraId="6CF0FECB" w14:textId="0BEFA61C" w:rsidR="00787F35" w:rsidRDefault="00267D16" w:rsidP="00750CA9">
            <w:pPr>
              <w:pStyle w:val="Texteformulaire"/>
            </w:pPr>
            <w:r>
              <w:t xml:space="preserve">Alliance </w:t>
            </w:r>
            <w:r w:rsidR="00787F35">
              <w:t>Côte d’Ivoire</w:t>
            </w:r>
          </w:p>
          <w:p w14:paraId="43DEBFDD" w14:textId="08FA01B2" w:rsidR="00C10958" w:rsidRDefault="00267D16" w:rsidP="00750CA9">
            <w:pPr>
              <w:pStyle w:val="Texteformulaire"/>
            </w:pPr>
            <w:r>
              <w:t>Enda Santé</w:t>
            </w:r>
            <w:r w:rsidR="00C10958">
              <w:t xml:space="preserve">, </w:t>
            </w:r>
            <w:proofErr w:type="spellStart"/>
            <w:r w:rsidR="00C10958">
              <w:t>Plateforme</w:t>
            </w:r>
            <w:proofErr w:type="spellEnd"/>
            <w:r w:rsidR="00C10958">
              <w:t xml:space="preserve"> des </w:t>
            </w:r>
            <w:proofErr w:type="spellStart"/>
            <w:r w:rsidR="00C10958">
              <w:t>Réseaux</w:t>
            </w:r>
            <w:proofErr w:type="spellEnd"/>
            <w:r w:rsidR="00C10958">
              <w:t xml:space="preserve"> et </w:t>
            </w:r>
            <w:proofErr w:type="spellStart"/>
            <w:r w:rsidR="00C10958">
              <w:t>Faitières</w:t>
            </w:r>
            <w:proofErr w:type="spellEnd"/>
          </w:p>
          <w:p w14:paraId="7406058C" w14:textId="77777777" w:rsidR="00267D16" w:rsidRPr="007F48BA" w:rsidRDefault="00267D16" w:rsidP="00750CA9">
            <w:pPr>
              <w:pStyle w:val="Texteformulaire"/>
            </w:pPr>
            <w:r>
              <w:t>PNLS</w:t>
            </w:r>
          </w:p>
        </w:tc>
      </w:tr>
      <w:tr w:rsidR="00267D16" w:rsidRPr="00E2627C" w14:paraId="0662AA74" w14:textId="77777777" w:rsidTr="00750CA9">
        <w:tc>
          <w:tcPr>
            <w:tcW w:w="2972" w:type="dxa"/>
          </w:tcPr>
          <w:p w14:paraId="09FE29DA" w14:textId="483DFF69" w:rsidR="00267D16" w:rsidRPr="004E7FC0" w:rsidRDefault="00267D16" w:rsidP="006603FF">
            <w:pPr>
              <w:pStyle w:val="Default"/>
              <w:rPr>
                <w:b/>
                <w:color w:val="auto"/>
                <w:sz w:val="22"/>
                <w:szCs w:val="22"/>
              </w:rPr>
            </w:pPr>
            <w:r w:rsidRPr="004E7FC0">
              <w:rPr>
                <w:b/>
                <w:color w:val="auto"/>
                <w:sz w:val="22"/>
                <w:szCs w:val="22"/>
              </w:rPr>
              <w:t>Autre risque émergent :</w:t>
            </w:r>
            <w:r w:rsidRPr="004E7FC0">
              <w:rPr>
                <w:color w:val="auto"/>
                <w:sz w:val="22"/>
                <w:szCs w:val="22"/>
              </w:rPr>
              <w:t xml:space="preserve"> </w:t>
            </w:r>
            <w:r w:rsidRPr="004E7FC0">
              <w:rPr>
                <w:sz w:val="22"/>
                <w:szCs w:val="22"/>
              </w:rPr>
              <w:t xml:space="preserve">Epidémie </w:t>
            </w:r>
            <w:r w:rsidR="00787F35">
              <w:rPr>
                <w:sz w:val="22"/>
                <w:szCs w:val="22"/>
              </w:rPr>
              <w:t xml:space="preserve">de </w:t>
            </w:r>
            <w:r w:rsidRPr="004E7FC0">
              <w:rPr>
                <w:sz w:val="22"/>
                <w:szCs w:val="22"/>
              </w:rPr>
              <w:t>COVID</w:t>
            </w:r>
            <w:r w:rsidR="00787F35">
              <w:rPr>
                <w:sz w:val="22"/>
                <w:szCs w:val="22"/>
              </w:rPr>
              <w:t>-</w:t>
            </w:r>
            <w:r w:rsidRPr="004E7FC0">
              <w:rPr>
                <w:sz w:val="22"/>
                <w:szCs w:val="22"/>
              </w:rPr>
              <w:t>19</w:t>
            </w:r>
          </w:p>
          <w:p w14:paraId="7698355B" w14:textId="77777777" w:rsidR="00267D16" w:rsidRPr="004E7FC0" w:rsidRDefault="00267D16" w:rsidP="006603FF">
            <w:pPr>
              <w:pStyle w:val="Default"/>
              <w:rPr>
                <w:b/>
                <w:color w:val="auto"/>
                <w:sz w:val="22"/>
                <w:szCs w:val="22"/>
              </w:rPr>
            </w:pPr>
          </w:p>
        </w:tc>
        <w:tc>
          <w:tcPr>
            <w:tcW w:w="5954" w:type="dxa"/>
          </w:tcPr>
          <w:p w14:paraId="4843E7DB" w14:textId="0D7C34B7" w:rsidR="00267D16" w:rsidRPr="00750CA9" w:rsidRDefault="00787F35" w:rsidP="00750CA9">
            <w:pPr>
              <w:pStyle w:val="liste1"/>
            </w:pPr>
            <w:r w:rsidRPr="00750CA9">
              <w:t xml:space="preserve">Garantir </w:t>
            </w:r>
            <w:r w:rsidR="00267D16" w:rsidRPr="00750CA9">
              <w:t>la continuité des services fournis au</w:t>
            </w:r>
            <w:r w:rsidRPr="00750CA9">
              <w:t>x</w:t>
            </w:r>
            <w:r w:rsidR="00267D16" w:rsidRPr="00750CA9">
              <w:t xml:space="preserve"> PVVIH</w:t>
            </w:r>
            <w:r w:rsidRPr="00750CA9">
              <w:t xml:space="preserve">, </w:t>
            </w:r>
            <w:proofErr w:type="spellStart"/>
            <w:r w:rsidRPr="00750CA9">
              <w:t>KPs</w:t>
            </w:r>
            <w:proofErr w:type="spellEnd"/>
            <w:r w:rsidRPr="00750CA9">
              <w:t xml:space="preserve"> et autres populations cibles (dispensations </w:t>
            </w:r>
            <w:proofErr w:type="spellStart"/>
            <w:r w:rsidRPr="00750CA9">
              <w:t>multimois</w:t>
            </w:r>
            <w:proofErr w:type="spellEnd"/>
            <w:r w:rsidRPr="00750CA9">
              <w:t xml:space="preserve">, </w:t>
            </w:r>
            <w:r w:rsidR="00C10958" w:rsidRPr="00750CA9">
              <w:t xml:space="preserve">distribution communautaire, </w:t>
            </w:r>
            <w:r w:rsidRPr="00750CA9">
              <w:t>etc.)</w:t>
            </w:r>
          </w:p>
          <w:p w14:paraId="7022A9E0" w14:textId="615C4466" w:rsidR="00267D16" w:rsidRPr="00750CA9" w:rsidRDefault="00C10958" w:rsidP="00750CA9">
            <w:pPr>
              <w:pStyle w:val="liste1"/>
            </w:pPr>
            <w:r>
              <w:t>Mise en œuvre du P</w:t>
            </w:r>
            <w:r w:rsidR="00267D16" w:rsidRPr="00750CA9">
              <w:t>lan national de riposte au COVID19 (Ministère de la santé, PNLS, PNLT)</w:t>
            </w:r>
          </w:p>
          <w:p w14:paraId="3D6DB015" w14:textId="202C1082" w:rsidR="00C10958" w:rsidRPr="00750CA9" w:rsidRDefault="00267D16" w:rsidP="00750CA9">
            <w:pPr>
              <w:pStyle w:val="liste1"/>
            </w:pPr>
            <w:r w:rsidRPr="00750CA9">
              <w:t>Sécuris</w:t>
            </w:r>
            <w:r w:rsidR="00787F35" w:rsidRPr="00750CA9">
              <w:t xml:space="preserve">ation des sites de </w:t>
            </w:r>
            <w:r w:rsidR="00C10958" w:rsidRPr="00750CA9">
              <w:t xml:space="preserve">prestation de services (formations sanitaires et sites communautaires) : mesures barrières, </w:t>
            </w:r>
            <w:r w:rsidRPr="00750CA9">
              <w:t xml:space="preserve">gel </w:t>
            </w:r>
            <w:proofErr w:type="spellStart"/>
            <w:r w:rsidR="00C10958" w:rsidRPr="00750CA9">
              <w:t>hydro-alcoolique</w:t>
            </w:r>
            <w:proofErr w:type="spellEnd"/>
            <w:r w:rsidR="00C10958" w:rsidRPr="00750CA9">
              <w:t>, masques, EPI, etc.</w:t>
            </w:r>
          </w:p>
          <w:p w14:paraId="2FE31768" w14:textId="14F247C3" w:rsidR="00267D16" w:rsidRPr="00750CA9" w:rsidRDefault="00C10958" w:rsidP="00750CA9">
            <w:pPr>
              <w:pStyle w:val="liste1"/>
            </w:pPr>
            <w:r>
              <w:t>Promotion des activités en dématérialisé (réunions par télé/visioconférences)</w:t>
            </w:r>
          </w:p>
        </w:tc>
        <w:tc>
          <w:tcPr>
            <w:tcW w:w="1530" w:type="dxa"/>
          </w:tcPr>
          <w:p w14:paraId="445A5E7A" w14:textId="2DB7BE6F" w:rsidR="00C10958" w:rsidRDefault="00C10958" w:rsidP="00750CA9">
            <w:pPr>
              <w:pStyle w:val="Texteformulaire"/>
            </w:pPr>
            <w:proofErr w:type="spellStart"/>
            <w:r>
              <w:t>Primature</w:t>
            </w:r>
            <w:proofErr w:type="spellEnd"/>
          </w:p>
          <w:p w14:paraId="53256B1B" w14:textId="38BA6EA4" w:rsidR="00C10958" w:rsidRPr="00474FC8" w:rsidRDefault="00C10958" w:rsidP="00750CA9">
            <w:pPr>
              <w:pStyle w:val="Texteformulaire"/>
            </w:pPr>
            <w:r>
              <w:t>MSHP</w:t>
            </w:r>
          </w:p>
          <w:p w14:paraId="43109139" w14:textId="7D1183CF" w:rsidR="00267D16" w:rsidRPr="00474FC8" w:rsidRDefault="00267D16" w:rsidP="00750CA9">
            <w:pPr>
              <w:pStyle w:val="Texteformulaire"/>
            </w:pPr>
            <w:r w:rsidRPr="00474FC8">
              <w:t>PNLS</w:t>
            </w:r>
          </w:p>
          <w:p w14:paraId="2E27CEF0" w14:textId="77777777" w:rsidR="00C10958" w:rsidRDefault="00C10958" w:rsidP="00750CA9">
            <w:pPr>
              <w:pStyle w:val="Texteformulaire"/>
            </w:pPr>
            <w:r>
              <w:t>Alliance Côte d’Ivoire</w:t>
            </w:r>
          </w:p>
          <w:p w14:paraId="0445D756" w14:textId="77777777" w:rsidR="00267D16" w:rsidRPr="00474FC8" w:rsidRDefault="00267D16" w:rsidP="00750CA9">
            <w:pPr>
              <w:pStyle w:val="Texteformulaire"/>
            </w:pPr>
            <w:r w:rsidRPr="00474FC8">
              <w:t>CCM</w:t>
            </w:r>
          </w:p>
        </w:tc>
      </w:tr>
      <w:tr w:rsidR="00267D16" w:rsidRPr="00E2627C" w14:paraId="15D37CB7" w14:textId="77777777" w:rsidTr="00750CA9">
        <w:tc>
          <w:tcPr>
            <w:tcW w:w="2972" w:type="dxa"/>
          </w:tcPr>
          <w:p w14:paraId="1231DE10" w14:textId="7E627AE1" w:rsidR="00267D16" w:rsidRPr="004E7FC0" w:rsidRDefault="00267D16" w:rsidP="006603FF">
            <w:pPr>
              <w:pStyle w:val="Default"/>
              <w:rPr>
                <w:b/>
                <w:color w:val="auto"/>
                <w:sz w:val="22"/>
                <w:szCs w:val="22"/>
              </w:rPr>
            </w:pPr>
            <w:r w:rsidRPr="004E7FC0">
              <w:rPr>
                <w:b/>
                <w:color w:val="auto"/>
                <w:sz w:val="22"/>
                <w:szCs w:val="22"/>
              </w:rPr>
              <w:t>Comptabilité et rapports financiers</w:t>
            </w:r>
            <w:r w:rsidR="00C10958">
              <w:rPr>
                <w:b/>
                <w:color w:val="auto"/>
                <w:sz w:val="22"/>
                <w:szCs w:val="22"/>
              </w:rPr>
              <w:t> :</w:t>
            </w:r>
          </w:p>
          <w:p w14:paraId="1E20CEF3" w14:textId="77777777" w:rsidR="00267D16" w:rsidRPr="004E7FC0" w:rsidRDefault="00267D16" w:rsidP="006F6940">
            <w:pPr>
              <w:numPr>
                <w:ilvl w:val="0"/>
                <w:numId w:val="37"/>
              </w:numPr>
              <w:spacing w:after="160" w:line="259" w:lineRule="auto"/>
              <w:ind w:left="155" w:hanging="139"/>
              <w:contextualSpacing/>
              <w:rPr>
                <w:sz w:val="22"/>
                <w:szCs w:val="22"/>
              </w:rPr>
            </w:pPr>
            <w:r w:rsidRPr="004E7FC0">
              <w:rPr>
                <w:sz w:val="22"/>
                <w:szCs w:val="22"/>
              </w:rPr>
              <w:t>Rupture des fonds</w:t>
            </w:r>
          </w:p>
          <w:p w14:paraId="6BB01086" w14:textId="77777777" w:rsidR="00267D16" w:rsidRPr="004E7FC0" w:rsidRDefault="00267D16" w:rsidP="006F6940">
            <w:pPr>
              <w:numPr>
                <w:ilvl w:val="0"/>
                <w:numId w:val="37"/>
              </w:numPr>
              <w:spacing w:after="160" w:line="259" w:lineRule="auto"/>
              <w:ind w:left="155" w:hanging="139"/>
              <w:contextualSpacing/>
              <w:rPr>
                <w:sz w:val="22"/>
                <w:szCs w:val="22"/>
              </w:rPr>
            </w:pPr>
            <w:r w:rsidRPr="004E7FC0">
              <w:rPr>
                <w:sz w:val="22"/>
                <w:szCs w:val="22"/>
              </w:rPr>
              <w:t xml:space="preserve">Faible exécution financière de la subvention </w:t>
            </w:r>
          </w:p>
          <w:p w14:paraId="558E4293" w14:textId="47E8419E" w:rsidR="00267D16" w:rsidRPr="00750CA9" w:rsidRDefault="00267D16" w:rsidP="00750CA9">
            <w:pPr>
              <w:numPr>
                <w:ilvl w:val="0"/>
                <w:numId w:val="37"/>
              </w:numPr>
              <w:spacing w:after="160" w:line="259" w:lineRule="auto"/>
              <w:ind w:left="155" w:hanging="139"/>
              <w:contextualSpacing/>
              <w:rPr>
                <w:sz w:val="22"/>
                <w:szCs w:val="22"/>
              </w:rPr>
            </w:pPr>
            <w:r w:rsidRPr="00750CA9">
              <w:rPr>
                <w:sz w:val="22"/>
                <w:szCs w:val="22"/>
              </w:rPr>
              <w:t xml:space="preserve">Insuffisance des capacités en gestion financière des </w:t>
            </w:r>
            <w:r w:rsidR="00615E40" w:rsidRPr="00750CA9">
              <w:rPr>
                <w:sz w:val="22"/>
                <w:szCs w:val="22"/>
              </w:rPr>
              <w:t>PR/</w:t>
            </w:r>
            <w:r w:rsidRPr="00750CA9">
              <w:rPr>
                <w:sz w:val="22"/>
                <w:szCs w:val="22"/>
              </w:rPr>
              <w:t>SR</w:t>
            </w:r>
            <w:r w:rsidR="00615E40" w:rsidRPr="00750CA9">
              <w:rPr>
                <w:sz w:val="22"/>
                <w:szCs w:val="22"/>
              </w:rPr>
              <w:t xml:space="preserve"> et </w:t>
            </w:r>
            <w:r w:rsidRPr="00750CA9">
              <w:rPr>
                <w:sz w:val="22"/>
                <w:szCs w:val="22"/>
              </w:rPr>
              <w:t>de gestion de l’information sur le financement</w:t>
            </w:r>
          </w:p>
          <w:p w14:paraId="147CD7BE" w14:textId="4DC32098" w:rsidR="00267D16" w:rsidRPr="004E7FC0" w:rsidRDefault="00267D16" w:rsidP="00750CA9">
            <w:pPr>
              <w:numPr>
                <w:ilvl w:val="0"/>
                <w:numId w:val="37"/>
              </w:numPr>
              <w:spacing w:after="160" w:line="259" w:lineRule="auto"/>
              <w:ind w:left="155" w:hanging="139"/>
              <w:contextualSpacing/>
              <w:rPr>
                <w:sz w:val="22"/>
                <w:szCs w:val="22"/>
              </w:rPr>
            </w:pPr>
            <w:r w:rsidRPr="004E7FC0">
              <w:rPr>
                <w:sz w:val="22"/>
                <w:szCs w:val="22"/>
              </w:rPr>
              <w:t>Faible justification des avances de fonds reçus</w:t>
            </w:r>
            <w:r w:rsidR="00615E40">
              <w:rPr>
                <w:sz w:val="22"/>
                <w:szCs w:val="22"/>
              </w:rPr>
              <w:t>, et des</w:t>
            </w:r>
            <w:r w:rsidRPr="004E7FC0">
              <w:rPr>
                <w:sz w:val="22"/>
                <w:szCs w:val="22"/>
              </w:rPr>
              <w:t xml:space="preserve"> contrôle</w:t>
            </w:r>
            <w:r w:rsidR="00615E40">
              <w:rPr>
                <w:sz w:val="22"/>
                <w:szCs w:val="22"/>
              </w:rPr>
              <w:t>s</w:t>
            </w:r>
            <w:r w:rsidRPr="004E7FC0">
              <w:rPr>
                <w:sz w:val="22"/>
                <w:szCs w:val="22"/>
              </w:rPr>
              <w:t xml:space="preserve"> à priori et à postériori des dépenses</w:t>
            </w:r>
            <w:r w:rsidRPr="004E7FC0">
              <w:rPr>
                <w:rFonts w:cs="Arial"/>
                <w:sz w:val="22"/>
                <w:szCs w:val="22"/>
              </w:rPr>
              <w:t>.</w:t>
            </w:r>
          </w:p>
        </w:tc>
        <w:tc>
          <w:tcPr>
            <w:tcW w:w="5954" w:type="dxa"/>
          </w:tcPr>
          <w:p w14:paraId="146D572A" w14:textId="6405BE05" w:rsidR="00267D16" w:rsidRDefault="00C10958" w:rsidP="006603FF">
            <w:pPr>
              <w:pStyle w:val="liste1"/>
            </w:pPr>
            <w:r>
              <w:t>Existence de l’UCP-FM</w:t>
            </w:r>
            <w:r w:rsidR="00267D16" w:rsidRPr="009C039D">
              <w:t xml:space="preserve"> </w:t>
            </w:r>
            <w:r>
              <w:t xml:space="preserve">pour </w:t>
            </w:r>
            <w:r w:rsidR="00267D16" w:rsidRPr="009C039D">
              <w:t xml:space="preserve">garantir </w:t>
            </w:r>
            <w:r>
              <w:t>un</w:t>
            </w:r>
            <w:r w:rsidR="00267D16" w:rsidRPr="009C039D">
              <w:t xml:space="preserve"> haut niveau de redevabilité et de responsabilité concernant les subventions accordée par le Fonds mondial</w:t>
            </w:r>
          </w:p>
          <w:p w14:paraId="6D67A385" w14:textId="70F0D45A" w:rsidR="00267D16" w:rsidRDefault="00267D16" w:rsidP="00FE1CAA">
            <w:pPr>
              <w:pStyle w:val="liste1"/>
            </w:pPr>
            <w:r w:rsidRPr="009C039D">
              <w:t>Appui et assistance technique à la gestion financière des PR et des SR</w:t>
            </w:r>
            <w:r w:rsidR="00C10958">
              <w:t> ; é</w:t>
            </w:r>
            <w:r w:rsidRPr="009C039D">
              <w:t>laboration et mise en œuvre d</w:t>
            </w:r>
            <w:r w:rsidR="00C10958">
              <w:t>e</w:t>
            </w:r>
            <w:r w:rsidRPr="009C039D">
              <w:t xml:space="preserve"> plan</w:t>
            </w:r>
            <w:r w:rsidR="00C10958">
              <w:t>s</w:t>
            </w:r>
            <w:r w:rsidRPr="009C039D">
              <w:t xml:space="preserve"> de gestion des risques </w:t>
            </w:r>
            <w:r w:rsidR="00C10958">
              <w:t>financiers par</w:t>
            </w:r>
            <w:r w:rsidR="00C10958" w:rsidRPr="009C039D">
              <w:t xml:space="preserve"> </w:t>
            </w:r>
            <w:r w:rsidRPr="009C039D">
              <w:t>les PR et les SR</w:t>
            </w:r>
          </w:p>
          <w:p w14:paraId="3BF91B7B" w14:textId="77777777" w:rsidR="00267D16" w:rsidRDefault="00267D16" w:rsidP="006603FF">
            <w:pPr>
              <w:pStyle w:val="liste1"/>
            </w:pPr>
            <w:r w:rsidRPr="009C039D">
              <w:t>Monitorage de la gestion financière et des risques financiers du SR et PR, y compris les flux de trésorerie (supervision rapprochée des SR)</w:t>
            </w:r>
          </w:p>
          <w:p w14:paraId="3B88A5D2" w14:textId="46A87F69" w:rsidR="00267D16" w:rsidRPr="00C819D0" w:rsidRDefault="00267D16" w:rsidP="00750CA9">
            <w:pPr>
              <w:pStyle w:val="liste1"/>
            </w:pPr>
            <w:r w:rsidRPr="009C039D">
              <w:t>Le Ministère de la Santé doit veiller au décaissement effectif du budget annuel promis par l’Etat pour les médicaments et intrants afin que les objectifs et la mise en œuvre des politiques/stratégies soient efficaces pour l’atteinte des objectifs</w:t>
            </w:r>
          </w:p>
        </w:tc>
        <w:tc>
          <w:tcPr>
            <w:tcW w:w="1530" w:type="dxa"/>
          </w:tcPr>
          <w:p w14:paraId="41112F0A" w14:textId="77777777" w:rsidR="00267D16" w:rsidRPr="00474FC8" w:rsidRDefault="00267D16" w:rsidP="00750CA9">
            <w:pPr>
              <w:pStyle w:val="Texteformulaire"/>
            </w:pPr>
            <w:proofErr w:type="spellStart"/>
            <w:r w:rsidRPr="00474FC8">
              <w:t>Ministère</w:t>
            </w:r>
            <w:proofErr w:type="spellEnd"/>
            <w:r w:rsidRPr="00474FC8">
              <w:t xml:space="preserve"> PNLS</w:t>
            </w:r>
          </w:p>
          <w:p w14:paraId="4B467071" w14:textId="77777777" w:rsidR="00267D16" w:rsidRPr="00474FC8" w:rsidRDefault="00267D16" w:rsidP="00750CA9">
            <w:pPr>
              <w:pStyle w:val="Texteformulaire"/>
            </w:pPr>
            <w:r w:rsidRPr="00474FC8">
              <w:t>PNLT</w:t>
            </w:r>
          </w:p>
          <w:p w14:paraId="685488C6" w14:textId="77777777" w:rsidR="00267D16" w:rsidRPr="00474FC8" w:rsidRDefault="00267D16" w:rsidP="00750CA9">
            <w:pPr>
              <w:pStyle w:val="Texteformulaire"/>
            </w:pPr>
            <w:r w:rsidRPr="00474FC8">
              <w:t>Alliance</w:t>
            </w:r>
          </w:p>
          <w:p w14:paraId="0E0FF916" w14:textId="77777777" w:rsidR="00267D16" w:rsidRPr="00474FC8" w:rsidRDefault="00267D16" w:rsidP="00750CA9">
            <w:pPr>
              <w:pStyle w:val="Texteformulaire"/>
              <w:rPr>
                <w:lang w:eastAsia="es-EC"/>
              </w:rPr>
            </w:pPr>
            <w:r w:rsidRPr="00474FC8">
              <w:t>CCM</w:t>
            </w:r>
          </w:p>
        </w:tc>
      </w:tr>
    </w:tbl>
    <w:p w14:paraId="69E78736" w14:textId="10A67A93" w:rsidR="00CE446A" w:rsidRPr="00D236CA" w:rsidRDefault="00CE446A" w:rsidP="009B6C0D">
      <w:pPr>
        <w:spacing w:after="0" w:line="0" w:lineRule="auto"/>
      </w:pPr>
    </w:p>
    <w:p w14:paraId="08262776" w14:textId="77777777" w:rsidR="00080EE0" w:rsidRDefault="00080EE0" w:rsidP="00390EA4">
      <w:pPr>
        <w:pStyle w:val="Heading1"/>
        <w:spacing w:before="0"/>
        <w:ind w:left="567" w:hanging="567"/>
      </w:pPr>
    </w:p>
    <w:p w14:paraId="5C9A9EAC" w14:textId="3F6105BE" w:rsidR="0098274C" w:rsidRPr="00D236CA" w:rsidRDefault="0003674B" w:rsidP="00390EA4">
      <w:pPr>
        <w:pStyle w:val="Heading1"/>
        <w:spacing w:before="0"/>
        <w:ind w:left="567" w:hanging="567"/>
      </w:pPr>
      <w:r>
        <w:t>Section 4 : Cofinancement, pérennité et transition</w:t>
      </w:r>
    </w:p>
    <w:p w14:paraId="449DC752" w14:textId="77777777" w:rsidR="00410AD8" w:rsidRPr="00D236CA" w:rsidRDefault="00410AD8" w:rsidP="009B6C0D">
      <w:pPr>
        <w:spacing w:after="0"/>
      </w:pPr>
    </w:p>
    <w:p w14:paraId="2BC4CF3A" w14:textId="008BA054" w:rsidR="00CF2EAA" w:rsidRPr="0019513D" w:rsidRDefault="003C1B00" w:rsidP="009B6C0D">
      <w:pPr>
        <w:spacing w:after="0"/>
        <w:jc w:val="both"/>
        <w:rPr>
          <w:rFonts w:ascii="Arial" w:hAnsi="Arial"/>
          <w:sz w:val="22"/>
        </w:rPr>
      </w:pPr>
      <w:r>
        <w:t xml:space="preserve">Pour répondre aux questions ci-dessous, se référer aux </w:t>
      </w:r>
      <w:r>
        <w:rPr>
          <w:i/>
        </w:rPr>
        <w:t>Instructions</w:t>
      </w:r>
      <w:r>
        <w:t xml:space="preserve">, à la section de la </w:t>
      </w:r>
      <w:r>
        <w:rPr>
          <w:b/>
        </w:rPr>
        <w:t>lettre d’allocation</w:t>
      </w:r>
      <w:bookmarkStart w:id="27" w:name="_Hlk13737743"/>
      <w:r>
        <w:t xml:space="preserve"> relative au financement national, </w:t>
      </w:r>
      <w:bookmarkStart w:id="28" w:name="_Hlk14421843"/>
      <w:r>
        <w:t>à la</w:t>
      </w:r>
      <w:r>
        <w:rPr>
          <w:b/>
        </w:rPr>
        <w:t xml:space="preserve"> </w:t>
      </w:r>
      <w:hyperlink r:id="rId28" w:history="1">
        <w:r w:rsidR="00187E3E" w:rsidRPr="00571BEA">
          <w:rPr>
            <w:rStyle w:val="Hyperlink"/>
            <w:rFonts w:cs="Arial"/>
            <w:lang w:val="fr-FR" w:bidi="fr-FR"/>
          </w:rPr>
          <w:t>Note d’orientation sur la pérennité, la transition et le cofinancement</w:t>
        </w:r>
      </w:hyperlink>
      <w:r>
        <w:t>,</w:t>
      </w:r>
      <w:bookmarkEnd w:id="28"/>
      <w:r>
        <w:rPr>
          <w:b/>
        </w:rPr>
        <w:t xml:space="preserve"> au(x) tableau(x) du paysage de financement, au(x) tableau(x) de lacunes programmatiques, au plan de pérennité ou au plan de travail de transition, </w:t>
      </w:r>
      <w:r>
        <w:t>si disponibles</w:t>
      </w:r>
      <w:r w:rsidR="00CD3B4E">
        <w:rPr>
          <w:rStyle w:val="FootnoteReference"/>
          <w:lang w:bidi="fr-FR"/>
        </w:rPr>
        <w:footnoteReference w:id="5"/>
      </w:r>
      <w:r>
        <w:t xml:space="preserve">. </w:t>
      </w:r>
    </w:p>
    <w:bookmarkEnd w:id="27"/>
    <w:p w14:paraId="7A0E6229" w14:textId="77777777" w:rsidR="00250AD1" w:rsidRPr="00D236CA" w:rsidRDefault="00250AD1" w:rsidP="009B6C0D">
      <w:pPr>
        <w:spacing w:after="0"/>
      </w:pPr>
    </w:p>
    <w:p w14:paraId="19446AFC" w14:textId="66351CC7" w:rsidR="00DE1608" w:rsidRPr="004E7FC0" w:rsidRDefault="0098274C" w:rsidP="004E7FC0">
      <w:pPr>
        <w:pStyle w:val="Heading2"/>
        <w:numPr>
          <w:ilvl w:val="1"/>
          <w:numId w:val="26"/>
        </w:numPr>
        <w:shd w:val="clear" w:color="auto" w:fill="D9D9D9" w:themeFill="background1" w:themeFillShade="D9"/>
        <w:spacing w:before="0" w:line="260" w:lineRule="atLeast"/>
        <w:contextualSpacing/>
        <w:rPr>
          <w:rFonts w:eastAsia="SimSun"/>
          <w:lang w:eastAsia="zh-CN"/>
        </w:rPr>
      </w:pPr>
      <w:r w:rsidRPr="004E7FC0">
        <w:rPr>
          <w:shd w:val="clear" w:color="auto" w:fill="D9D9D9" w:themeFill="background1" w:themeFillShade="D9"/>
        </w:rPr>
        <w:t>Cofinancement</w:t>
      </w:r>
    </w:p>
    <w:p w14:paraId="230EC1F9" w14:textId="0137F5A3" w:rsidR="0098274C" w:rsidRPr="00D236CA" w:rsidRDefault="0098274C" w:rsidP="00A140D5">
      <w:pPr>
        <w:pStyle w:val="ListParagraph"/>
        <w:numPr>
          <w:ilvl w:val="0"/>
          <w:numId w:val="18"/>
        </w:numPr>
        <w:spacing w:after="0" w:line="260" w:lineRule="atLeast"/>
        <w:ind w:left="360"/>
      </w:pPr>
      <w:r w:rsidRPr="00D474E6">
        <w:t xml:space="preserve">Les </w:t>
      </w:r>
      <w:r w:rsidRPr="00D474E6">
        <w:rPr>
          <w:b/>
        </w:rPr>
        <w:t>engagements de cofinancement</w:t>
      </w:r>
      <w:r w:rsidRPr="00D474E6">
        <w:t xml:space="preserve"> pour la période d’allocation </w:t>
      </w:r>
      <w:r w:rsidRPr="00D474E6">
        <w:rPr>
          <w:b/>
        </w:rPr>
        <w:t xml:space="preserve">actuelle </w:t>
      </w:r>
      <w:r w:rsidRPr="00D474E6">
        <w:t>ont-ils été honorés ?</w:t>
      </w:r>
    </w:p>
    <w:p w14:paraId="55FA5FBF" w14:textId="77777777" w:rsidR="0003674B" w:rsidRPr="00D236CA" w:rsidRDefault="0003674B" w:rsidP="0003674B">
      <w:pPr>
        <w:pStyle w:val="ListParagraph"/>
        <w:spacing w:after="0" w:line="260" w:lineRule="atLeast"/>
        <w:ind w:left="360"/>
      </w:pPr>
    </w:p>
    <w:p w14:paraId="08342881" w14:textId="3DF3782B" w:rsidR="0098274C" w:rsidRPr="00D236CA" w:rsidRDefault="002B2F80" w:rsidP="009B6C0D">
      <w:pPr>
        <w:pStyle w:val="ListParagraph"/>
        <w:spacing w:after="0"/>
      </w:pPr>
      <w:sdt>
        <w:sdtPr>
          <w:id w:val="924852934"/>
          <w14:checkbox>
            <w14:checked w14:val="1"/>
            <w14:checkedState w14:val="2612" w14:font="MS Gothic"/>
            <w14:uncheckedState w14:val="2610" w14:font="MS Gothic"/>
          </w14:checkbox>
        </w:sdtPr>
        <w:sdtEndPr/>
        <w:sdtContent>
          <w:r w:rsidR="006603FF">
            <w:rPr>
              <w:rFonts w:ascii="MS Gothic" w:eastAsia="MS Gothic" w:hAnsi="MS Gothic" w:hint="eastAsia"/>
            </w:rPr>
            <w:t>☒</w:t>
          </w:r>
        </w:sdtContent>
      </w:sdt>
      <w:r w:rsidR="0098274C" w:rsidRPr="005305D5">
        <w:t xml:space="preserve"> Oui         </w:t>
      </w:r>
      <w:sdt>
        <w:sdtPr>
          <w:id w:val="1334948662"/>
          <w14:checkbox>
            <w14:checked w14:val="0"/>
            <w14:checkedState w14:val="2612" w14:font="MS Gothic"/>
            <w14:uncheckedState w14:val="2610" w14:font="MS Gothic"/>
          </w14:checkbox>
        </w:sdtPr>
        <w:sdtEndPr/>
        <w:sdtContent>
          <w:r w:rsidR="0098274C" w:rsidRPr="005305D5">
            <w:rPr>
              <w:rFonts w:ascii="Segoe UI Symbol" w:hAnsi="Segoe UI Symbol"/>
            </w:rPr>
            <w:t>☐</w:t>
          </w:r>
        </w:sdtContent>
      </w:sdt>
      <w:r w:rsidR="0098274C" w:rsidRPr="005305D5">
        <w:t xml:space="preserve"> Non</w:t>
      </w:r>
    </w:p>
    <w:p w14:paraId="7740FA70" w14:textId="77777777" w:rsidR="0003674B" w:rsidRPr="00D236CA" w:rsidRDefault="0003674B" w:rsidP="009B6C0D">
      <w:pPr>
        <w:pStyle w:val="ListParagraph"/>
        <w:spacing w:after="0"/>
      </w:pPr>
    </w:p>
    <w:p w14:paraId="022BA27D" w14:textId="3D87BC51" w:rsidR="0098274C" w:rsidRPr="0019513D" w:rsidRDefault="0098274C" w:rsidP="001B52C3">
      <w:pPr>
        <w:spacing w:after="0"/>
        <w:ind w:left="360"/>
        <w:rPr>
          <w:rFonts w:ascii="Arial" w:hAnsi="Arial"/>
          <w:sz w:val="22"/>
        </w:rPr>
      </w:pPr>
      <w:r w:rsidRPr="005305D5">
        <w:t xml:space="preserve">Si </w:t>
      </w:r>
      <w:r w:rsidRPr="005305D5">
        <w:rPr>
          <w:b/>
        </w:rPr>
        <w:t>oui</w:t>
      </w:r>
      <w:r w:rsidRPr="005305D5">
        <w:t xml:space="preserve">, joindre des pièces justificatives démontrant </w:t>
      </w:r>
      <w:r w:rsidR="002251B5">
        <w:t xml:space="preserve">dans quelle </w:t>
      </w:r>
      <w:r w:rsidRPr="005305D5">
        <w:t xml:space="preserve">mesure les engagements de cofinancement ont été honorés. </w:t>
      </w:r>
    </w:p>
    <w:p w14:paraId="15FA4559" w14:textId="77777777" w:rsidR="0003674B" w:rsidRPr="00D236CA" w:rsidRDefault="0003674B" w:rsidP="001B52C3">
      <w:pPr>
        <w:spacing w:after="0"/>
        <w:ind w:left="360"/>
      </w:pPr>
    </w:p>
    <w:p w14:paraId="66F85316" w14:textId="22889FC3" w:rsidR="0098274C" w:rsidRPr="0019513D" w:rsidRDefault="0098274C" w:rsidP="001B52C3">
      <w:pPr>
        <w:spacing w:after="0"/>
        <w:ind w:left="360"/>
        <w:rPr>
          <w:rFonts w:ascii="Arial" w:hAnsi="Arial"/>
          <w:sz w:val="22"/>
        </w:rPr>
      </w:pPr>
      <w:r w:rsidRPr="005305D5">
        <w:t xml:space="preserve">Si </w:t>
      </w:r>
      <w:r w:rsidRPr="005305D5">
        <w:rPr>
          <w:b/>
        </w:rPr>
        <w:t>non</w:t>
      </w:r>
      <w:r w:rsidRPr="005305D5">
        <w:t>, expliquer pourquoi et décrire les conséquences de cette situation sur le programme.</w:t>
      </w:r>
    </w:p>
    <w:p w14:paraId="12E4F25B" w14:textId="77777777" w:rsidR="0003674B" w:rsidRPr="00D236CA" w:rsidRDefault="0003674B" w:rsidP="009B6C0D">
      <w:pPr>
        <w:spacing w:after="0"/>
      </w:pPr>
    </w:p>
    <w:tbl>
      <w:tblPr>
        <w:tblStyle w:val="TableGrid"/>
        <w:tblW w:w="0" w:type="auto"/>
        <w:tblLook w:val="04A0" w:firstRow="1" w:lastRow="0" w:firstColumn="1" w:lastColumn="0" w:noHBand="0" w:noVBand="1"/>
      </w:tblPr>
      <w:tblGrid>
        <w:gridCol w:w="10456"/>
      </w:tblGrid>
      <w:tr w:rsidR="0098274C" w:rsidRPr="00F00BB3" w14:paraId="07DEFA91" w14:textId="77777777" w:rsidTr="00D63E4B">
        <w:tc>
          <w:tcPr>
            <w:tcW w:w="10790" w:type="dxa"/>
          </w:tcPr>
          <w:p w14:paraId="6593B4B5" w14:textId="32BCC5A3" w:rsidR="006603FF" w:rsidRPr="0019513D" w:rsidRDefault="006603FF" w:rsidP="00E96F4C">
            <w:pPr>
              <w:pStyle w:val="Texteformulaire"/>
              <w:rPr>
                <w:lang w:val="fr-FR"/>
              </w:rPr>
            </w:pPr>
            <w:r w:rsidRPr="0019513D">
              <w:rPr>
                <w:lang w:val="fr-FR"/>
              </w:rPr>
              <w:t>Les engagements ont été globalement respectés :</w:t>
            </w:r>
          </w:p>
          <w:p w14:paraId="2A01BA5F" w14:textId="77777777" w:rsidR="006603FF" w:rsidRDefault="006603FF" w:rsidP="006603FF">
            <w:pPr>
              <w:pStyle w:val="liste1"/>
              <w:rPr>
                <w:lang w:bidi="fr-FR"/>
              </w:rPr>
            </w:pPr>
            <w:r>
              <w:rPr>
                <w:lang w:bidi="fr-FR"/>
              </w:rPr>
              <w:t xml:space="preserve">Les engagements de 2018 (3 506 327 Euro) ont été partiellement respectés (1 143 367,62 Euro) et le reliquat (2 362 959,767 Euro) a été échelonné sur 2019 et 2020. </w:t>
            </w:r>
          </w:p>
          <w:p w14:paraId="32FD0AD4" w14:textId="77777777" w:rsidR="006603FF" w:rsidRDefault="006603FF" w:rsidP="006603FF">
            <w:pPr>
              <w:pStyle w:val="liste1"/>
              <w:rPr>
                <w:lang w:bidi="fr-FR"/>
              </w:rPr>
            </w:pPr>
            <w:r>
              <w:rPr>
                <w:lang w:bidi="fr-FR"/>
              </w:rPr>
              <w:t xml:space="preserve">Pour 2019 le montant prévu (3 720 938 Euro) et une partie du reliquat de 2018 (914 694 </w:t>
            </w:r>
            <w:proofErr w:type="gramStart"/>
            <w:r>
              <w:rPr>
                <w:lang w:bidi="fr-FR"/>
              </w:rPr>
              <w:t>euro</w:t>
            </w:r>
            <w:proofErr w:type="gramEnd"/>
            <w:r>
              <w:rPr>
                <w:lang w:bidi="fr-FR"/>
              </w:rPr>
              <w:t xml:space="preserve">) destinée à être payé en 2019 ont été effectivement payés. </w:t>
            </w:r>
          </w:p>
          <w:p w14:paraId="3E656E58" w14:textId="77777777" w:rsidR="0098274C" w:rsidRDefault="006603FF" w:rsidP="006603FF">
            <w:pPr>
              <w:pStyle w:val="liste1"/>
            </w:pPr>
            <w:r>
              <w:rPr>
                <w:lang w:bidi="fr-FR"/>
              </w:rPr>
              <w:t>Pour 2020, le montant prévu de 3 935 187 Euro a été payé ; il reste le reliquat de 2018 (1 448 266 Euro) à solder d’ici la fin 2020.</w:t>
            </w:r>
          </w:p>
          <w:p w14:paraId="3680D7AE" w14:textId="3E95B0DB" w:rsidR="0019513D" w:rsidRPr="00390EA4" w:rsidRDefault="0019513D" w:rsidP="00EC327E">
            <w:pPr>
              <w:pStyle w:val="Texteformulaire"/>
            </w:pPr>
            <w:r>
              <w:t xml:space="preserve">Les documents </w:t>
            </w:r>
            <w:proofErr w:type="spellStart"/>
            <w:r>
              <w:t>attestant</w:t>
            </w:r>
            <w:proofErr w:type="spellEnd"/>
            <w:r>
              <w:t xml:space="preserve"> </w:t>
            </w:r>
            <w:proofErr w:type="spellStart"/>
            <w:r w:rsidR="00EC327E">
              <w:t>l’engagement</w:t>
            </w:r>
            <w:proofErr w:type="spellEnd"/>
            <w:r w:rsidR="00EC327E">
              <w:t xml:space="preserve"> de </w:t>
            </w:r>
            <w:proofErr w:type="spellStart"/>
            <w:r w:rsidR="00EC327E">
              <w:t>l’Etat</w:t>
            </w:r>
            <w:proofErr w:type="spellEnd"/>
            <w:r w:rsidR="00EC327E">
              <w:t xml:space="preserve"> </w:t>
            </w:r>
            <w:proofErr w:type="spellStart"/>
            <w:r w:rsidR="00EC327E">
              <w:t>ivoirien</w:t>
            </w:r>
            <w:proofErr w:type="spellEnd"/>
            <w:r w:rsidR="00EC327E">
              <w:t xml:space="preserve"> </w:t>
            </w:r>
            <w:proofErr w:type="spellStart"/>
            <w:r w:rsidR="00EC327E">
              <w:t>sont</w:t>
            </w:r>
            <w:proofErr w:type="spellEnd"/>
            <w:r w:rsidR="00EC327E">
              <w:t xml:space="preserve"> </w:t>
            </w:r>
            <w:proofErr w:type="spellStart"/>
            <w:r w:rsidR="00EC327E">
              <w:t>fournies</w:t>
            </w:r>
            <w:proofErr w:type="spellEnd"/>
            <w:r w:rsidR="00EC327E">
              <w:t xml:space="preserve"> </w:t>
            </w:r>
            <w:proofErr w:type="spellStart"/>
            <w:r w:rsidR="00EC327E">
              <w:t>en</w:t>
            </w:r>
            <w:proofErr w:type="spellEnd"/>
            <w:r w:rsidR="00EC327E">
              <w:t xml:space="preserve"> </w:t>
            </w:r>
            <w:proofErr w:type="spellStart"/>
            <w:r w:rsidR="00EC327E">
              <w:t>annexe</w:t>
            </w:r>
            <w:proofErr w:type="spellEnd"/>
            <w:r w:rsidR="00EC327E">
              <w:t>.</w:t>
            </w:r>
          </w:p>
        </w:tc>
      </w:tr>
    </w:tbl>
    <w:p w14:paraId="6EB69FC6" w14:textId="4344703D" w:rsidR="0003674B" w:rsidRPr="00474FC8" w:rsidRDefault="0003674B" w:rsidP="00BF55BF">
      <w:pPr>
        <w:spacing w:after="0"/>
      </w:pPr>
    </w:p>
    <w:p w14:paraId="60AFADE4" w14:textId="4FF12C02" w:rsidR="0098274C" w:rsidRPr="00D236CA" w:rsidRDefault="477BDD52" w:rsidP="00A140D5">
      <w:pPr>
        <w:pStyle w:val="ListParagraph"/>
        <w:numPr>
          <w:ilvl w:val="0"/>
          <w:numId w:val="18"/>
        </w:numPr>
        <w:spacing w:after="0" w:line="260" w:lineRule="atLeast"/>
        <w:ind w:left="360"/>
      </w:pPr>
      <w:r w:rsidRPr="00D474E6">
        <w:t xml:space="preserve">Les </w:t>
      </w:r>
      <w:r w:rsidRPr="00D474E6">
        <w:rPr>
          <w:b/>
        </w:rPr>
        <w:t>engagements de cofinancement</w:t>
      </w:r>
      <w:r w:rsidRPr="00D474E6">
        <w:t xml:space="preserve"> pour la </w:t>
      </w:r>
      <w:r w:rsidRPr="00D474E6">
        <w:rPr>
          <w:b/>
        </w:rPr>
        <w:t xml:space="preserve">prochaine </w:t>
      </w:r>
      <w:r w:rsidRPr="00D474E6">
        <w:t xml:space="preserve">période d’allocation répondent-ils aux exigences minimales pour bénéficier pleinement de l’incitation au cofinancement ? </w:t>
      </w:r>
    </w:p>
    <w:p w14:paraId="72322017" w14:textId="77777777" w:rsidR="0003674B" w:rsidRPr="00D236CA" w:rsidRDefault="0003674B" w:rsidP="0003674B">
      <w:pPr>
        <w:pStyle w:val="ListParagraph"/>
        <w:spacing w:after="0" w:line="260" w:lineRule="atLeast"/>
        <w:ind w:left="360"/>
      </w:pPr>
    </w:p>
    <w:p w14:paraId="4EAEE9E1" w14:textId="46591283" w:rsidR="0098274C" w:rsidRPr="00D236CA" w:rsidRDefault="002B2F80" w:rsidP="009B6C0D">
      <w:pPr>
        <w:pStyle w:val="ListParagraph"/>
        <w:spacing w:after="0"/>
      </w:pPr>
      <w:sdt>
        <w:sdtPr>
          <w:id w:val="-1936279169"/>
          <w14:checkbox>
            <w14:checked w14:val="1"/>
            <w14:checkedState w14:val="2612" w14:font="MS Gothic"/>
            <w14:uncheckedState w14:val="2610" w14:font="MS Gothic"/>
          </w14:checkbox>
        </w:sdtPr>
        <w:sdtEndPr/>
        <w:sdtContent>
          <w:r w:rsidR="006603FF">
            <w:rPr>
              <w:rFonts w:ascii="MS Gothic" w:eastAsia="MS Gothic" w:hAnsi="MS Gothic" w:hint="eastAsia"/>
            </w:rPr>
            <w:t>☒</w:t>
          </w:r>
        </w:sdtContent>
      </w:sdt>
      <w:r w:rsidR="0098274C" w:rsidRPr="005305D5">
        <w:t xml:space="preserve"> Oui         </w:t>
      </w:r>
      <w:sdt>
        <w:sdtPr>
          <w:id w:val="-1870989213"/>
          <w14:checkbox>
            <w14:checked w14:val="0"/>
            <w14:checkedState w14:val="2612" w14:font="MS Gothic"/>
            <w14:uncheckedState w14:val="2610" w14:font="MS Gothic"/>
          </w14:checkbox>
        </w:sdtPr>
        <w:sdtEndPr/>
        <w:sdtContent>
          <w:r w:rsidR="0098274C" w:rsidRPr="005305D5">
            <w:rPr>
              <w:rFonts w:ascii="Segoe UI Symbol" w:hAnsi="Segoe UI Symbol"/>
            </w:rPr>
            <w:t>☐</w:t>
          </w:r>
        </w:sdtContent>
      </w:sdt>
      <w:r w:rsidR="0098274C" w:rsidRPr="005305D5">
        <w:t xml:space="preserve"> Non</w:t>
      </w:r>
    </w:p>
    <w:p w14:paraId="6AD21767" w14:textId="77777777" w:rsidR="0003674B" w:rsidRPr="00D236CA" w:rsidRDefault="0003674B" w:rsidP="009B6C0D">
      <w:pPr>
        <w:pStyle w:val="ListParagraph"/>
        <w:spacing w:after="0"/>
      </w:pPr>
    </w:p>
    <w:p w14:paraId="27324351" w14:textId="511FF96A" w:rsidR="0098274C" w:rsidRPr="0019513D" w:rsidRDefault="0098274C" w:rsidP="001B52C3">
      <w:pPr>
        <w:spacing w:after="0"/>
        <w:ind w:left="360"/>
        <w:rPr>
          <w:rFonts w:ascii="Arial" w:hAnsi="Arial"/>
          <w:sz w:val="22"/>
        </w:rPr>
      </w:pPr>
      <w:r w:rsidRPr="005305D5">
        <w:t xml:space="preserve">Si des informations sur les engagements sont disponibles, joindre des pièces justificatives démontrant la mesure des engagements de cofinancement contractés. </w:t>
      </w:r>
    </w:p>
    <w:p w14:paraId="52B04919" w14:textId="77777777" w:rsidR="0003674B" w:rsidRPr="00D236CA" w:rsidRDefault="0003674B" w:rsidP="001B52C3">
      <w:pPr>
        <w:spacing w:after="0"/>
        <w:ind w:left="360"/>
      </w:pPr>
    </w:p>
    <w:p w14:paraId="03903574" w14:textId="6F1C664A" w:rsidR="0098274C" w:rsidRPr="0019513D" w:rsidRDefault="0098274C" w:rsidP="001B52C3">
      <w:pPr>
        <w:spacing w:after="0"/>
        <w:ind w:left="360"/>
        <w:rPr>
          <w:rFonts w:ascii="Arial" w:hAnsi="Arial"/>
          <w:sz w:val="22"/>
        </w:rPr>
      </w:pPr>
      <w:r w:rsidRPr="005305D5">
        <w:t>Si les engagements de cofinancement ne répondent pas aux exigences minimales, expliquer pourquoi.</w:t>
      </w:r>
    </w:p>
    <w:p w14:paraId="2F8D0C5C" w14:textId="77777777" w:rsidR="0003674B" w:rsidRPr="00D236CA" w:rsidRDefault="0003674B" w:rsidP="009B6C0D">
      <w:pPr>
        <w:spacing w:after="0"/>
      </w:pPr>
    </w:p>
    <w:tbl>
      <w:tblPr>
        <w:tblStyle w:val="TableGrid"/>
        <w:tblW w:w="0" w:type="auto"/>
        <w:tblLook w:val="04A0" w:firstRow="1" w:lastRow="0" w:firstColumn="1" w:lastColumn="0" w:noHBand="0" w:noVBand="1"/>
      </w:tblPr>
      <w:tblGrid>
        <w:gridCol w:w="10456"/>
      </w:tblGrid>
      <w:tr w:rsidR="0098274C" w:rsidRPr="005305D5" w14:paraId="3DA5C604" w14:textId="77777777" w:rsidTr="00D63E4B">
        <w:tc>
          <w:tcPr>
            <w:tcW w:w="10790" w:type="dxa"/>
          </w:tcPr>
          <w:p w14:paraId="332D7F24" w14:textId="77777777" w:rsidR="006603FF" w:rsidRPr="0019513D" w:rsidRDefault="006603FF" w:rsidP="006603FF">
            <w:pPr>
              <w:pStyle w:val="Texteformulaire"/>
              <w:rPr>
                <w:lang w:val="fr-FR"/>
              </w:rPr>
            </w:pPr>
            <w:r w:rsidRPr="0019513D">
              <w:rPr>
                <w:lang w:val="fr-FR"/>
              </w:rPr>
              <w:t xml:space="preserve">Pour ce nouveau cycle 2021-2023, il est exigé de la Côte d’Ivoire un cofinancement à hauteur de 20% du montant de l’allocation du Fonds Mondial, soit 16 899 668 Euro. </w:t>
            </w:r>
          </w:p>
          <w:p w14:paraId="482B3BE6" w14:textId="44AF8942" w:rsidR="0098274C" w:rsidRPr="0019513D" w:rsidRDefault="006603FF" w:rsidP="006603FF">
            <w:pPr>
              <w:pStyle w:val="Texteformulaire"/>
              <w:rPr>
                <w:lang w:val="fr-FR"/>
              </w:rPr>
            </w:pPr>
            <w:r w:rsidRPr="0019513D">
              <w:rPr>
                <w:lang w:val="fr-FR"/>
              </w:rPr>
              <w:t>Une communication en Conseil des Ministres viendra acter cet engagement.</w:t>
            </w:r>
          </w:p>
        </w:tc>
      </w:tr>
    </w:tbl>
    <w:p w14:paraId="2F215546" w14:textId="3A267F71" w:rsidR="0003674B" w:rsidRDefault="0003674B" w:rsidP="00BF55BF">
      <w:pPr>
        <w:spacing w:after="0"/>
      </w:pPr>
    </w:p>
    <w:p w14:paraId="6EFF32F9" w14:textId="0E7105B5" w:rsidR="0098274C" w:rsidRPr="00D474E6" w:rsidRDefault="006D0956" w:rsidP="00A140D5">
      <w:pPr>
        <w:pStyle w:val="ListParagraph"/>
        <w:numPr>
          <w:ilvl w:val="0"/>
          <w:numId w:val="18"/>
        </w:numPr>
        <w:spacing w:after="0" w:line="260" w:lineRule="atLeast"/>
        <w:ind w:left="360"/>
        <w:rPr>
          <w:b/>
        </w:rPr>
      </w:pPr>
      <w:r>
        <w:t xml:space="preserve">Résumer les </w:t>
      </w:r>
      <w:r>
        <w:rPr>
          <w:b/>
        </w:rPr>
        <w:t>axes programmatiques</w:t>
      </w:r>
      <w:r>
        <w:t xml:space="preserve"> qui bénéficieront d’un cofinancement national pendant la prochaine période d’allocation. En particulier :</w:t>
      </w:r>
    </w:p>
    <w:p w14:paraId="147CF3CF" w14:textId="62896BF8" w:rsidR="004F1255" w:rsidRPr="00D236CA" w:rsidRDefault="477BDD52" w:rsidP="00A140D5">
      <w:pPr>
        <w:pStyle w:val="ListParagraph"/>
        <w:numPr>
          <w:ilvl w:val="2"/>
          <w:numId w:val="18"/>
        </w:numPr>
        <w:spacing w:after="0" w:line="260" w:lineRule="atLeast"/>
        <w:ind w:left="900"/>
      </w:pPr>
      <w:r>
        <w:t xml:space="preserve">Le financement des principaux coûts programmatiques des plans nationaux de lutte contre les différentes maladies ou des systèmes de santé ; </w:t>
      </w:r>
    </w:p>
    <w:p w14:paraId="1CAD26BE" w14:textId="7611D161" w:rsidR="000C4145" w:rsidRPr="00D236CA" w:rsidRDefault="477BDD52" w:rsidP="00A140D5">
      <w:pPr>
        <w:pStyle w:val="ListParagraph"/>
        <w:numPr>
          <w:ilvl w:val="2"/>
          <w:numId w:val="18"/>
        </w:numPr>
        <w:spacing w:after="0" w:line="260" w:lineRule="atLeast"/>
        <w:ind w:left="900"/>
      </w:pPr>
      <w:r>
        <w:t>La prise en charge prévue des interventions actuellement financées par le Fonds mondial.</w:t>
      </w:r>
    </w:p>
    <w:p w14:paraId="6A7B0610" w14:textId="77777777" w:rsidR="0015388D" w:rsidRPr="00D236CA" w:rsidRDefault="0015388D" w:rsidP="009B6C0D">
      <w:pPr>
        <w:pStyle w:val="ListParagraph"/>
        <w:spacing w:after="0" w:line="260" w:lineRule="atLeast"/>
        <w:ind w:left="990"/>
      </w:pPr>
    </w:p>
    <w:tbl>
      <w:tblPr>
        <w:tblStyle w:val="TableGrid"/>
        <w:tblW w:w="0" w:type="auto"/>
        <w:tblLook w:val="04A0" w:firstRow="1" w:lastRow="0" w:firstColumn="1" w:lastColumn="0" w:noHBand="0" w:noVBand="1"/>
      </w:tblPr>
      <w:tblGrid>
        <w:gridCol w:w="10456"/>
      </w:tblGrid>
      <w:tr w:rsidR="0098274C" w:rsidRPr="005305D5" w14:paraId="55932626" w14:textId="77777777" w:rsidTr="5011C524">
        <w:tc>
          <w:tcPr>
            <w:tcW w:w="10790" w:type="dxa"/>
          </w:tcPr>
          <w:p w14:paraId="5A5B534B" w14:textId="167FA93A" w:rsidR="006603FF" w:rsidRPr="0019513D" w:rsidRDefault="006603FF" w:rsidP="006603FF">
            <w:pPr>
              <w:pStyle w:val="Texteformulaire"/>
              <w:rPr>
                <w:lang w:val="fr-FR"/>
              </w:rPr>
            </w:pPr>
            <w:r w:rsidRPr="0019513D">
              <w:rPr>
                <w:lang w:val="fr-FR"/>
              </w:rPr>
              <w:lastRenderedPageBreak/>
              <w:t>Les principaux axes programmatiques du PSN 2021-2025 VIH/sida ou des systèmes de santé à financer sont :</w:t>
            </w:r>
          </w:p>
          <w:p w14:paraId="7C974307" w14:textId="77777777" w:rsidR="006603FF" w:rsidRPr="006603FF" w:rsidRDefault="006603FF" w:rsidP="006603FF">
            <w:pPr>
              <w:pStyle w:val="liste1"/>
            </w:pPr>
            <w:r w:rsidRPr="006603FF">
              <w:t>Prévention</w:t>
            </w:r>
          </w:p>
          <w:p w14:paraId="51F35B21" w14:textId="77777777" w:rsidR="006603FF" w:rsidRPr="006603FF" w:rsidRDefault="006603FF" w:rsidP="006603FF">
            <w:pPr>
              <w:pStyle w:val="liste1"/>
            </w:pPr>
            <w:r w:rsidRPr="006603FF">
              <w:t>Soins et traitement</w:t>
            </w:r>
          </w:p>
          <w:p w14:paraId="7FFBD6ED" w14:textId="77777777" w:rsidR="006603FF" w:rsidRPr="006603FF" w:rsidRDefault="006603FF" w:rsidP="006603FF">
            <w:pPr>
              <w:pStyle w:val="liste1"/>
            </w:pPr>
            <w:r w:rsidRPr="006603FF">
              <w:t>Gouvernance</w:t>
            </w:r>
          </w:p>
          <w:p w14:paraId="7B714F69" w14:textId="76ECF3E7" w:rsidR="006603FF" w:rsidRPr="00EC327E" w:rsidRDefault="006603FF" w:rsidP="006603FF">
            <w:pPr>
              <w:pStyle w:val="Texteformulaire"/>
              <w:rPr>
                <w:lang w:val="fr-FR"/>
              </w:rPr>
            </w:pPr>
            <w:r w:rsidRPr="00EC327E">
              <w:rPr>
                <w:lang w:val="fr-FR"/>
              </w:rPr>
              <w:t>La prise en charge prévue des interventions actuellement financées par le Fonds mondial.</w:t>
            </w:r>
          </w:p>
          <w:p w14:paraId="273F1317" w14:textId="77777777" w:rsidR="006603FF" w:rsidRDefault="006603FF" w:rsidP="006603FF">
            <w:pPr>
              <w:pStyle w:val="liste1"/>
            </w:pPr>
            <w:r>
              <w:rPr>
                <w:lang w:bidi="fr-FR"/>
              </w:rPr>
              <w:t>Prévention</w:t>
            </w:r>
          </w:p>
          <w:p w14:paraId="03E9DEA4" w14:textId="77777777" w:rsidR="006603FF" w:rsidRDefault="006603FF" w:rsidP="006603FF">
            <w:pPr>
              <w:pStyle w:val="liste1"/>
            </w:pPr>
            <w:r>
              <w:rPr>
                <w:lang w:bidi="fr-FR"/>
              </w:rPr>
              <w:t>Soins et Traitement</w:t>
            </w:r>
          </w:p>
          <w:p w14:paraId="6F4C1A20" w14:textId="7E5AFEB2" w:rsidR="00E27819" w:rsidRPr="005305D5" w:rsidRDefault="006603FF" w:rsidP="006603FF">
            <w:pPr>
              <w:pStyle w:val="liste1"/>
            </w:pPr>
            <w:r>
              <w:rPr>
                <w:lang w:bidi="fr-FR"/>
              </w:rPr>
              <w:t>Gouvernance</w:t>
            </w:r>
          </w:p>
        </w:tc>
      </w:tr>
    </w:tbl>
    <w:p w14:paraId="0956C7F5" w14:textId="62FE5847" w:rsidR="0003674B" w:rsidRDefault="0003674B" w:rsidP="009B6C0D">
      <w:pPr>
        <w:spacing w:after="0"/>
      </w:pPr>
    </w:p>
    <w:p w14:paraId="17E8BD38" w14:textId="7C34AA23" w:rsidR="0018557F" w:rsidRPr="00D236CA" w:rsidRDefault="0018557F" w:rsidP="00A140D5">
      <w:pPr>
        <w:pStyle w:val="ListParagraph"/>
        <w:numPr>
          <w:ilvl w:val="0"/>
          <w:numId w:val="18"/>
        </w:numPr>
        <w:spacing w:after="0"/>
        <w:ind w:left="360"/>
      </w:pPr>
      <w:r w:rsidRPr="0018557F">
        <w:t xml:space="preserve">Préciser ci-dessous les moyens qui permettront d’assurer </w:t>
      </w:r>
      <w:r w:rsidRPr="001B4CC6">
        <w:rPr>
          <w:b/>
        </w:rPr>
        <w:t>le suivi et la communication des rapports</w:t>
      </w:r>
      <w:r w:rsidRPr="5011C524">
        <w:t xml:space="preserve"> relatifs aux engagements de cofinancement</w:t>
      </w:r>
      <w:r w:rsidRPr="0018557F">
        <w:t xml:space="preserve">. Si les systèmes de gestion des finances publiques ou les mécanismes de suivi des dépenses doivent être renforcés ou institutionnalisés, indiquer comment la présente demande de financement répondra à ces besoins. </w:t>
      </w:r>
    </w:p>
    <w:p w14:paraId="0B6FE9EB" w14:textId="77777777" w:rsidR="0003674B" w:rsidRPr="00D236CA" w:rsidRDefault="0003674B" w:rsidP="0003674B">
      <w:pPr>
        <w:pStyle w:val="ListParagraph"/>
        <w:spacing w:after="0"/>
        <w:ind w:left="360"/>
      </w:pPr>
    </w:p>
    <w:tbl>
      <w:tblPr>
        <w:tblStyle w:val="TableGrid"/>
        <w:tblW w:w="0" w:type="auto"/>
        <w:tblLayout w:type="fixed"/>
        <w:tblLook w:val="04A0" w:firstRow="1" w:lastRow="0" w:firstColumn="1" w:lastColumn="0" w:noHBand="0" w:noVBand="1"/>
      </w:tblPr>
      <w:tblGrid>
        <w:gridCol w:w="10466"/>
      </w:tblGrid>
      <w:tr w:rsidR="5011C524" w14:paraId="6BAE677A" w14:textId="77777777" w:rsidTr="5011C524">
        <w:tc>
          <w:tcPr>
            <w:tcW w:w="10466" w:type="dxa"/>
          </w:tcPr>
          <w:p w14:paraId="613833D9" w14:textId="52999B3E" w:rsidR="00E96F4C" w:rsidRPr="00EC327E" w:rsidRDefault="006603FF" w:rsidP="006603FF">
            <w:pPr>
              <w:pStyle w:val="Texteformulaire"/>
              <w:rPr>
                <w:lang w:val="fr-FR"/>
              </w:rPr>
            </w:pPr>
            <w:r w:rsidRPr="00EC327E">
              <w:rPr>
                <w:lang w:val="fr-FR"/>
              </w:rPr>
              <w:t xml:space="preserve">Le pays se propose de rapporter </w:t>
            </w:r>
            <w:r w:rsidR="00DE3655" w:rsidRPr="00EC327E">
              <w:rPr>
                <w:lang w:val="fr-FR"/>
              </w:rPr>
              <w:t xml:space="preserve">au Fonds Mondial </w:t>
            </w:r>
            <w:r w:rsidRPr="00EC327E">
              <w:rPr>
                <w:lang w:val="fr-FR"/>
              </w:rPr>
              <w:t>les dépenses d’investissement et de fonctionnement réalisées dans le cadre du financement de la réponse nationale à la lutte contre le VIH/</w:t>
            </w:r>
            <w:r w:rsidR="00DE3655">
              <w:rPr>
                <w:lang w:val="fr-FR"/>
              </w:rPr>
              <w:t>sida</w:t>
            </w:r>
            <w:r w:rsidR="00DE3655" w:rsidRPr="00EC327E">
              <w:rPr>
                <w:lang w:val="fr-FR"/>
              </w:rPr>
              <w:t xml:space="preserve"> lors de la production du PU/PUDR</w:t>
            </w:r>
            <w:r w:rsidR="00DE3655">
              <w:rPr>
                <w:lang w:val="fr-FR"/>
              </w:rPr>
              <w:t>.</w:t>
            </w:r>
          </w:p>
          <w:p w14:paraId="47A58DAC" w14:textId="3538DB0C" w:rsidR="00E96F4C" w:rsidRPr="00EC327E" w:rsidRDefault="006603FF" w:rsidP="006603FF">
            <w:pPr>
              <w:pStyle w:val="Texteformulaire"/>
              <w:rPr>
                <w:lang w:val="fr-FR"/>
              </w:rPr>
            </w:pPr>
            <w:r w:rsidRPr="00EC327E">
              <w:rPr>
                <w:lang w:val="fr-FR"/>
              </w:rPr>
              <w:t xml:space="preserve">Ce rapportage financier contribuera à renforcer les relations de partenariat entre la Côte-d’Ivoire et le Fonds Mondial. </w:t>
            </w:r>
          </w:p>
          <w:p w14:paraId="26725E03" w14:textId="40383712" w:rsidR="5011C524" w:rsidRPr="00E96F4C" w:rsidRDefault="006603FF" w:rsidP="006603FF">
            <w:pPr>
              <w:pStyle w:val="Texteformulaire"/>
            </w:pPr>
            <w:r w:rsidRPr="00EC327E">
              <w:rPr>
                <w:lang w:val="fr-FR"/>
              </w:rPr>
              <w:t xml:space="preserve">Le rapport financier déclinera les dépenses réalisées par la Partie nationale sur la période de rapportage pour montrer l’investissement de l’Etat dans le financement de la lutte contre le VIH/SIDA. </w:t>
            </w:r>
            <w:r>
              <w:rPr>
                <w:lang w:bidi="fr-FR"/>
              </w:rPr>
              <w:t xml:space="preserve">Un </w:t>
            </w:r>
            <w:proofErr w:type="spellStart"/>
            <w:r>
              <w:rPr>
                <w:lang w:bidi="fr-FR"/>
              </w:rPr>
              <w:t>canevas</w:t>
            </w:r>
            <w:proofErr w:type="spellEnd"/>
            <w:r>
              <w:rPr>
                <w:lang w:bidi="fr-FR"/>
              </w:rPr>
              <w:t xml:space="preserve"> de rapportage sera </w:t>
            </w:r>
            <w:proofErr w:type="spellStart"/>
            <w:r>
              <w:rPr>
                <w:lang w:bidi="fr-FR"/>
              </w:rPr>
              <w:t>proposé</w:t>
            </w:r>
            <w:proofErr w:type="spellEnd"/>
            <w:r>
              <w:rPr>
                <w:lang w:bidi="fr-FR"/>
              </w:rPr>
              <w:t xml:space="preserve">, </w:t>
            </w:r>
            <w:proofErr w:type="spellStart"/>
            <w:r>
              <w:rPr>
                <w:lang w:bidi="fr-FR"/>
              </w:rPr>
              <w:t>validé</w:t>
            </w:r>
            <w:proofErr w:type="spellEnd"/>
            <w:r>
              <w:rPr>
                <w:lang w:bidi="fr-FR"/>
              </w:rPr>
              <w:t xml:space="preserve"> et </w:t>
            </w:r>
            <w:proofErr w:type="spellStart"/>
            <w:r>
              <w:rPr>
                <w:lang w:bidi="fr-FR"/>
              </w:rPr>
              <w:t>diffusé</w:t>
            </w:r>
            <w:proofErr w:type="spellEnd"/>
            <w:r>
              <w:rPr>
                <w:lang w:bidi="fr-FR"/>
              </w:rPr>
              <w:t>.</w:t>
            </w:r>
          </w:p>
        </w:tc>
      </w:tr>
    </w:tbl>
    <w:p w14:paraId="3B356966" w14:textId="0E89ED98" w:rsidR="00672B5C" w:rsidRPr="00BF55BF" w:rsidRDefault="00672B5C" w:rsidP="00BF55BF">
      <w:pPr>
        <w:spacing w:after="0" w:line="0" w:lineRule="auto"/>
      </w:pPr>
    </w:p>
    <w:p w14:paraId="5F32000B" w14:textId="77777777" w:rsidR="001B52C3" w:rsidRDefault="001B52C3">
      <w:pPr>
        <w:spacing w:after="160" w:line="0" w:lineRule="auto"/>
        <w:rPr>
          <w:rFonts w:eastAsiaTheme="majorEastAsia" w:cs="Arial"/>
          <w:b/>
          <w:bCs/>
          <w:noProof/>
        </w:rPr>
      </w:pPr>
      <w:r>
        <w:br w:type="page"/>
      </w:r>
    </w:p>
    <w:p w14:paraId="5EE78B8F" w14:textId="61D26322" w:rsidR="0098274C" w:rsidRPr="005305D5" w:rsidRDefault="0098274C" w:rsidP="00390EA4">
      <w:pPr>
        <w:pStyle w:val="Heading2"/>
        <w:numPr>
          <w:ilvl w:val="1"/>
          <w:numId w:val="26"/>
        </w:numPr>
        <w:shd w:val="clear" w:color="auto" w:fill="D9D9D9" w:themeFill="background1" w:themeFillShade="D9"/>
        <w:spacing w:before="0"/>
        <w:contextualSpacing/>
      </w:pPr>
      <w:r w:rsidRPr="005305D5">
        <w:lastRenderedPageBreak/>
        <w:t>Pérennité et transition</w:t>
      </w:r>
    </w:p>
    <w:p w14:paraId="7F1D36E4" w14:textId="129BB5E4" w:rsidR="00D06C7F" w:rsidRDefault="00D06C7F" w:rsidP="00D06C7F">
      <w:pPr>
        <w:spacing w:after="0" w:line="260" w:lineRule="atLeast"/>
      </w:pPr>
    </w:p>
    <w:p w14:paraId="71E0730C" w14:textId="264B563C" w:rsidR="0006089C" w:rsidRPr="00D236CA" w:rsidRDefault="00C7401B" w:rsidP="00A140D5">
      <w:pPr>
        <w:pStyle w:val="ListParagraph"/>
        <w:numPr>
          <w:ilvl w:val="0"/>
          <w:numId w:val="19"/>
        </w:numPr>
        <w:spacing w:after="0" w:line="260" w:lineRule="atLeast"/>
      </w:pPr>
      <w:bookmarkStart w:id="30" w:name="_Hlk15383591"/>
      <w:r>
        <w:t xml:space="preserve">À partir de l’analyse figurant dans </w:t>
      </w:r>
      <w:r>
        <w:rPr>
          <w:b/>
        </w:rPr>
        <w:t>le(s) tableau(x) du paysage de financement</w:t>
      </w:r>
      <w:r>
        <w:t xml:space="preserve">, décrire les besoins de financement et le financement anticipé, en soulignant les déficits touchant les principaux axes programmatiques pour la prochaine période d’allocation. </w:t>
      </w:r>
    </w:p>
    <w:p w14:paraId="6987D937" w14:textId="77777777" w:rsidR="0003674B" w:rsidRPr="00D236CA" w:rsidRDefault="0003674B" w:rsidP="0003674B">
      <w:pPr>
        <w:pStyle w:val="ListParagraph"/>
        <w:spacing w:after="0" w:line="260" w:lineRule="atLeast"/>
        <w:ind w:left="360"/>
      </w:pPr>
    </w:p>
    <w:p w14:paraId="73E1E4C2" w14:textId="356B7474" w:rsidR="000C4145" w:rsidRPr="00D236CA" w:rsidRDefault="0098274C" w:rsidP="009B6C0D">
      <w:pPr>
        <w:pStyle w:val="ListParagraph"/>
        <w:spacing w:after="0" w:line="260" w:lineRule="atLeast"/>
        <w:ind w:left="360"/>
      </w:pPr>
      <w:r w:rsidRPr="00D474E6">
        <w:t xml:space="preserve">De même, décrire la façon dont les autorités nationales i) s’attacheront à obtenir des financements supplémentaires ou de nouvelles sources de financement, </w:t>
      </w:r>
      <w:r w:rsidR="00710BB5">
        <w:t>et/</w:t>
      </w:r>
      <w:r w:rsidRPr="00D474E6">
        <w:t>ou ii) continueront à maximiser l’efficacité pour assurer un soutien suffisant aux interventions clés, en particulier à celles actuellement financées par le Fonds mondial.</w:t>
      </w:r>
    </w:p>
    <w:p w14:paraId="15A831D5" w14:textId="77777777" w:rsidR="003122A9" w:rsidRPr="00D236CA" w:rsidRDefault="003122A9" w:rsidP="009B6C0D">
      <w:pPr>
        <w:pStyle w:val="ListParagraph"/>
        <w:spacing w:after="0" w:line="260" w:lineRule="atLeast"/>
        <w:ind w:left="360"/>
      </w:pPr>
    </w:p>
    <w:tbl>
      <w:tblPr>
        <w:tblStyle w:val="TableGrid"/>
        <w:tblW w:w="0" w:type="auto"/>
        <w:tblLook w:val="04A0" w:firstRow="1" w:lastRow="0" w:firstColumn="1" w:lastColumn="0" w:noHBand="0" w:noVBand="1"/>
      </w:tblPr>
      <w:tblGrid>
        <w:gridCol w:w="10456"/>
      </w:tblGrid>
      <w:tr w:rsidR="0098274C" w:rsidRPr="005305D5" w14:paraId="0315BC21" w14:textId="77777777" w:rsidTr="00D63E4B">
        <w:tc>
          <w:tcPr>
            <w:tcW w:w="10790" w:type="dxa"/>
          </w:tcPr>
          <w:p w14:paraId="154B6A54" w14:textId="0F9C41C8" w:rsidR="00EC327E" w:rsidRDefault="006603FF" w:rsidP="006603FF">
            <w:pPr>
              <w:pStyle w:val="Texteformulaire"/>
              <w:rPr>
                <w:lang w:val="fr-FR"/>
              </w:rPr>
            </w:pPr>
            <w:r w:rsidRPr="00EC327E">
              <w:rPr>
                <w:lang w:val="fr-FR"/>
              </w:rPr>
              <w:t xml:space="preserve">Le tableau </w:t>
            </w:r>
            <w:r w:rsidR="00EC327E">
              <w:rPr>
                <w:lang w:val="fr-FR"/>
              </w:rPr>
              <w:t xml:space="preserve">du paysage </w:t>
            </w:r>
            <w:r w:rsidRPr="00EC327E">
              <w:rPr>
                <w:lang w:val="fr-FR"/>
              </w:rPr>
              <w:t xml:space="preserve">de financement </w:t>
            </w:r>
            <w:r w:rsidR="00EC327E">
              <w:rPr>
                <w:lang w:val="fr-FR"/>
              </w:rPr>
              <w:t xml:space="preserve">décrit </w:t>
            </w:r>
            <w:r w:rsidR="00EC327E">
              <w:t xml:space="preserve">les </w:t>
            </w:r>
            <w:proofErr w:type="spellStart"/>
            <w:r w:rsidR="00EC327E">
              <w:t>besoins</w:t>
            </w:r>
            <w:proofErr w:type="spellEnd"/>
            <w:r w:rsidR="00EC327E">
              <w:t xml:space="preserve"> de </w:t>
            </w:r>
            <w:proofErr w:type="spellStart"/>
            <w:r w:rsidR="00EC327E">
              <w:t>financement</w:t>
            </w:r>
            <w:proofErr w:type="spellEnd"/>
            <w:r w:rsidR="00EC327E">
              <w:t xml:space="preserve"> et le </w:t>
            </w:r>
            <w:proofErr w:type="spellStart"/>
            <w:r w:rsidR="00EC327E">
              <w:t>financement</w:t>
            </w:r>
            <w:proofErr w:type="spellEnd"/>
            <w:r w:rsidR="00EC327E">
              <w:t xml:space="preserve"> </w:t>
            </w:r>
            <w:proofErr w:type="spellStart"/>
            <w:r w:rsidR="00EC327E">
              <w:t>anticipé</w:t>
            </w:r>
            <w:proofErr w:type="spellEnd"/>
            <w:r w:rsidR="00EC327E">
              <w:t xml:space="preserve">, </w:t>
            </w:r>
            <w:proofErr w:type="spellStart"/>
            <w:r w:rsidR="00EC327E">
              <w:t>en</w:t>
            </w:r>
            <w:proofErr w:type="spellEnd"/>
            <w:r w:rsidR="00EC327E">
              <w:t xml:space="preserve"> </w:t>
            </w:r>
            <w:proofErr w:type="spellStart"/>
            <w:r w:rsidR="00EC327E">
              <w:t>soulignant</w:t>
            </w:r>
            <w:proofErr w:type="spellEnd"/>
            <w:r w:rsidR="00EC327E">
              <w:t xml:space="preserve"> les </w:t>
            </w:r>
            <w:proofErr w:type="spellStart"/>
            <w:r w:rsidR="00EC327E">
              <w:t>déficits</w:t>
            </w:r>
            <w:proofErr w:type="spellEnd"/>
            <w:r w:rsidR="00EC327E">
              <w:t xml:space="preserve"> </w:t>
            </w:r>
            <w:proofErr w:type="spellStart"/>
            <w:r w:rsidR="00EC327E">
              <w:t>touchant</w:t>
            </w:r>
            <w:proofErr w:type="spellEnd"/>
            <w:r w:rsidR="00EC327E">
              <w:t xml:space="preserve"> les </w:t>
            </w:r>
            <w:proofErr w:type="spellStart"/>
            <w:r w:rsidR="00EC327E">
              <w:t>principaux</w:t>
            </w:r>
            <w:proofErr w:type="spellEnd"/>
            <w:r w:rsidR="00EC327E">
              <w:t xml:space="preserve"> axes </w:t>
            </w:r>
            <w:proofErr w:type="spellStart"/>
            <w:r w:rsidR="00EC327E">
              <w:t>programmatiques</w:t>
            </w:r>
            <w:proofErr w:type="spellEnd"/>
            <w:r w:rsidR="00EC327E">
              <w:t xml:space="preserve"> pour la </w:t>
            </w:r>
            <w:proofErr w:type="spellStart"/>
            <w:r w:rsidR="00EC327E">
              <w:t>prochaine</w:t>
            </w:r>
            <w:proofErr w:type="spellEnd"/>
            <w:r w:rsidR="00EC327E">
              <w:t xml:space="preserve"> </w:t>
            </w:r>
            <w:proofErr w:type="spellStart"/>
            <w:r w:rsidR="00EC327E">
              <w:t>période</w:t>
            </w:r>
            <w:proofErr w:type="spellEnd"/>
            <w:r w:rsidR="00EC327E">
              <w:t xml:space="preserve"> </w:t>
            </w:r>
            <w:proofErr w:type="spellStart"/>
            <w:r w:rsidR="00EC327E">
              <w:t>d’allocation</w:t>
            </w:r>
            <w:proofErr w:type="spellEnd"/>
            <w:r w:rsidR="00EC327E" w:rsidRPr="00EC327E">
              <w:rPr>
                <w:lang w:val="fr-FR"/>
              </w:rPr>
              <w:t xml:space="preserve"> </w:t>
            </w:r>
            <w:r w:rsidRPr="00EC327E">
              <w:rPr>
                <w:lang w:val="fr-FR"/>
              </w:rPr>
              <w:t xml:space="preserve">pour la période allant de janvier 2021 à décembre 2023. </w:t>
            </w:r>
          </w:p>
          <w:p w14:paraId="79A5B62C" w14:textId="22EE0349" w:rsidR="001342DF" w:rsidRPr="00B9608A" w:rsidRDefault="006603FF" w:rsidP="006603FF">
            <w:pPr>
              <w:pStyle w:val="Texteformulaire"/>
              <w:rPr>
                <w:color w:val="FF0000"/>
                <w:lang w:val="fr-FR"/>
              </w:rPr>
            </w:pPr>
            <w:r w:rsidRPr="00B9608A">
              <w:rPr>
                <w:color w:val="FF0000"/>
                <w:lang w:val="fr-FR"/>
              </w:rPr>
              <w:t xml:space="preserve">L’estimation des besoins </w:t>
            </w:r>
            <w:r w:rsidR="00AC6665" w:rsidRPr="00B9608A">
              <w:rPr>
                <w:color w:val="FF0000"/>
                <w:lang w:val="fr-FR"/>
              </w:rPr>
              <w:t xml:space="preserve">de financement </w:t>
            </w:r>
            <w:r w:rsidRPr="00B9608A">
              <w:rPr>
                <w:color w:val="FF0000"/>
                <w:lang w:val="fr-FR"/>
              </w:rPr>
              <w:t xml:space="preserve">pour la lutte contre le VIH en Côte d’Ivoire au cours de cette période </w:t>
            </w:r>
            <w:r w:rsidR="00AC6665" w:rsidRPr="00B9608A">
              <w:rPr>
                <w:color w:val="FF0000"/>
                <w:lang w:val="fr-FR"/>
              </w:rPr>
              <w:t xml:space="preserve">s’établit à </w:t>
            </w:r>
            <w:r w:rsidR="00880C3E" w:rsidRPr="00B9608A">
              <w:rPr>
                <w:b/>
                <w:bCs/>
                <w:color w:val="FF0000"/>
                <w:lang w:val="fr-FR"/>
              </w:rPr>
              <w:t>6</w:t>
            </w:r>
            <w:r w:rsidR="008D06AB" w:rsidRPr="00B9608A">
              <w:rPr>
                <w:b/>
                <w:bCs/>
                <w:color w:val="FF0000"/>
                <w:lang w:val="fr-FR"/>
              </w:rPr>
              <w:t>90</w:t>
            </w:r>
            <w:r w:rsidR="00AC6665" w:rsidRPr="00B9608A">
              <w:rPr>
                <w:b/>
                <w:bCs/>
                <w:color w:val="FF0000"/>
                <w:lang w:val="fr-FR"/>
              </w:rPr>
              <w:t>.</w:t>
            </w:r>
            <w:r w:rsidR="008D06AB" w:rsidRPr="00B9608A">
              <w:rPr>
                <w:b/>
                <w:bCs/>
                <w:color w:val="FF0000"/>
                <w:lang w:val="fr-FR"/>
              </w:rPr>
              <w:t>903</w:t>
            </w:r>
            <w:r w:rsidR="00AC6665" w:rsidRPr="00B9608A">
              <w:rPr>
                <w:b/>
                <w:bCs/>
                <w:color w:val="FF0000"/>
                <w:lang w:val="fr-FR"/>
              </w:rPr>
              <w:t>.</w:t>
            </w:r>
            <w:r w:rsidR="008D06AB" w:rsidRPr="00B9608A">
              <w:rPr>
                <w:b/>
                <w:bCs/>
                <w:color w:val="FF0000"/>
                <w:lang w:val="fr-FR"/>
              </w:rPr>
              <w:t>010</w:t>
            </w:r>
            <w:r w:rsidR="00EC327E" w:rsidRPr="00B9608A">
              <w:rPr>
                <w:b/>
                <w:bCs/>
                <w:color w:val="FF0000"/>
                <w:lang w:val="fr-FR"/>
              </w:rPr>
              <w:t xml:space="preserve"> €</w:t>
            </w:r>
            <w:r w:rsidR="00EC327E" w:rsidRPr="00B9608A">
              <w:rPr>
                <w:color w:val="FF0000"/>
                <w:lang w:val="fr-FR"/>
              </w:rPr>
              <w:t xml:space="preserve"> (dont </w:t>
            </w:r>
            <w:r w:rsidR="008D06AB" w:rsidRPr="00B9608A">
              <w:rPr>
                <w:color w:val="FF0000"/>
                <w:lang w:val="fr-FR"/>
              </w:rPr>
              <w:t>240.232.380</w:t>
            </w:r>
            <w:r w:rsidR="00880C3E" w:rsidRPr="00B9608A">
              <w:rPr>
                <w:rFonts w:eastAsia="Times New Roman" w:cs="Arial"/>
                <w:color w:val="FF0000"/>
                <w:lang w:eastAsia="fr-FR"/>
              </w:rPr>
              <w:t xml:space="preserve"> </w:t>
            </w:r>
            <w:r w:rsidR="00EC327E" w:rsidRPr="00B9608A">
              <w:rPr>
                <w:color w:val="FF0000"/>
                <w:lang w:val="fr-FR"/>
              </w:rPr>
              <w:t xml:space="preserve">€ en 2021, </w:t>
            </w:r>
            <w:r w:rsidR="008D06AB" w:rsidRPr="00B9608A">
              <w:rPr>
                <w:color w:val="FF0000"/>
                <w:lang w:val="fr-FR"/>
              </w:rPr>
              <w:t xml:space="preserve">221.483.720 </w:t>
            </w:r>
            <w:r w:rsidR="00EC327E" w:rsidRPr="00B9608A">
              <w:rPr>
                <w:color w:val="FF0000"/>
                <w:lang w:val="fr-FR"/>
              </w:rPr>
              <w:t xml:space="preserve">€ en 2022 et </w:t>
            </w:r>
            <w:r w:rsidR="008D06AB" w:rsidRPr="00B9608A">
              <w:rPr>
                <w:color w:val="FF0000"/>
                <w:lang w:val="fr-FR"/>
              </w:rPr>
              <w:t xml:space="preserve">229.186.910 </w:t>
            </w:r>
            <w:r w:rsidR="00AC6665" w:rsidRPr="00B9608A">
              <w:rPr>
                <w:color w:val="FF0000"/>
                <w:lang w:val="fr-FR"/>
              </w:rPr>
              <w:t xml:space="preserve">€ en 2023). </w:t>
            </w:r>
            <w:r w:rsidR="00EC327E" w:rsidRPr="00B9608A">
              <w:rPr>
                <w:color w:val="FF0000"/>
                <w:lang w:val="fr-FR"/>
              </w:rPr>
              <w:t xml:space="preserve">Le déficit </w:t>
            </w:r>
            <w:r w:rsidR="008D06AB" w:rsidRPr="00B9608A">
              <w:rPr>
                <w:color w:val="FF0000"/>
                <w:lang w:val="fr-FR"/>
              </w:rPr>
              <w:t xml:space="preserve">global </w:t>
            </w:r>
            <w:r w:rsidR="00AC6665" w:rsidRPr="00B9608A">
              <w:rPr>
                <w:color w:val="FF0000"/>
                <w:lang w:val="fr-FR"/>
              </w:rPr>
              <w:t xml:space="preserve">de </w:t>
            </w:r>
            <w:r w:rsidR="00EC327E" w:rsidRPr="00B9608A">
              <w:rPr>
                <w:color w:val="FF0000"/>
                <w:lang w:val="fr-FR"/>
              </w:rPr>
              <w:t>financ</w:t>
            </w:r>
            <w:r w:rsidR="00AC6665" w:rsidRPr="00B9608A">
              <w:rPr>
                <w:color w:val="FF0000"/>
                <w:lang w:val="fr-FR"/>
              </w:rPr>
              <w:t>ement</w:t>
            </w:r>
            <w:r w:rsidR="00EC327E" w:rsidRPr="00B9608A">
              <w:rPr>
                <w:color w:val="FF0000"/>
                <w:lang w:val="fr-FR"/>
              </w:rPr>
              <w:t xml:space="preserve"> sur cette période est </w:t>
            </w:r>
            <w:r w:rsidRPr="00B9608A">
              <w:rPr>
                <w:color w:val="FF0000"/>
                <w:lang w:val="fr-FR"/>
              </w:rPr>
              <w:t xml:space="preserve">de </w:t>
            </w:r>
            <w:r w:rsidR="008D06AB" w:rsidRPr="00B9608A">
              <w:rPr>
                <w:b/>
                <w:bCs/>
                <w:color w:val="FF0000"/>
                <w:lang w:val="fr-FR"/>
              </w:rPr>
              <w:t>216</w:t>
            </w:r>
            <w:r w:rsidR="00AC6665" w:rsidRPr="00B9608A">
              <w:rPr>
                <w:b/>
                <w:bCs/>
                <w:color w:val="FF0000"/>
                <w:lang w:val="fr-FR"/>
              </w:rPr>
              <w:t>.</w:t>
            </w:r>
            <w:r w:rsidR="008D06AB" w:rsidRPr="00B9608A">
              <w:rPr>
                <w:b/>
                <w:bCs/>
                <w:color w:val="FF0000"/>
                <w:lang w:val="fr-FR"/>
              </w:rPr>
              <w:t>907</w:t>
            </w:r>
            <w:r w:rsidR="00AC6665" w:rsidRPr="00B9608A">
              <w:rPr>
                <w:b/>
                <w:bCs/>
                <w:color w:val="FF0000"/>
                <w:lang w:val="fr-FR"/>
              </w:rPr>
              <w:t>.</w:t>
            </w:r>
            <w:r w:rsidR="001342DF" w:rsidRPr="00B9608A">
              <w:rPr>
                <w:b/>
                <w:bCs/>
                <w:color w:val="FF0000"/>
                <w:lang w:val="fr-FR"/>
              </w:rPr>
              <w:t>8</w:t>
            </w:r>
            <w:r w:rsidR="008D06AB" w:rsidRPr="00B9608A">
              <w:rPr>
                <w:b/>
                <w:bCs/>
                <w:color w:val="FF0000"/>
                <w:lang w:val="fr-FR"/>
              </w:rPr>
              <w:t>9</w:t>
            </w:r>
            <w:r w:rsidR="001342DF" w:rsidRPr="00B9608A">
              <w:rPr>
                <w:b/>
                <w:bCs/>
                <w:color w:val="FF0000"/>
                <w:lang w:val="fr-FR"/>
              </w:rPr>
              <w:t>7</w:t>
            </w:r>
            <w:r w:rsidRPr="00B9608A">
              <w:rPr>
                <w:b/>
                <w:bCs/>
                <w:color w:val="FF0000"/>
                <w:lang w:val="fr-FR"/>
              </w:rPr>
              <w:t xml:space="preserve"> €</w:t>
            </w:r>
            <w:r w:rsidR="00EC327E" w:rsidRPr="00B9608A">
              <w:rPr>
                <w:color w:val="FF0000"/>
                <w:lang w:val="fr-FR"/>
              </w:rPr>
              <w:t xml:space="preserve"> (</w:t>
            </w:r>
            <w:r w:rsidR="00AC6665" w:rsidRPr="00B9608A">
              <w:rPr>
                <w:color w:val="FF0000"/>
                <w:lang w:val="fr-FR"/>
              </w:rPr>
              <w:t xml:space="preserve">dont </w:t>
            </w:r>
            <w:r w:rsidR="008D06AB" w:rsidRPr="00B9608A">
              <w:rPr>
                <w:color w:val="FF0000"/>
                <w:lang w:val="fr-FR"/>
              </w:rPr>
              <w:t>76.362.081</w:t>
            </w:r>
            <w:r w:rsidR="001342DF" w:rsidRPr="00B9608A">
              <w:rPr>
                <w:rFonts w:eastAsia="Times New Roman" w:cs="Arial"/>
                <w:color w:val="FF0000"/>
                <w:lang w:eastAsia="fr-FR"/>
              </w:rPr>
              <w:t xml:space="preserve"> </w:t>
            </w:r>
            <w:r w:rsidR="00EC327E" w:rsidRPr="00B9608A">
              <w:rPr>
                <w:color w:val="FF0000"/>
                <w:lang w:val="fr-FR"/>
              </w:rPr>
              <w:t xml:space="preserve">€ en 2021, </w:t>
            </w:r>
            <w:r w:rsidR="008D06AB" w:rsidRPr="00B9608A">
              <w:rPr>
                <w:color w:val="FF0000"/>
                <w:lang w:val="fr-FR"/>
              </w:rPr>
              <w:t xml:space="preserve">66.682.258 </w:t>
            </w:r>
            <w:r w:rsidR="00EC327E" w:rsidRPr="00B9608A">
              <w:rPr>
                <w:color w:val="FF0000"/>
                <w:lang w:val="fr-FR"/>
              </w:rPr>
              <w:t xml:space="preserve">€ en 2022 et </w:t>
            </w:r>
            <w:r w:rsidR="008D06AB" w:rsidRPr="00B9608A">
              <w:rPr>
                <w:color w:val="FF0000"/>
                <w:lang w:val="fr-FR"/>
              </w:rPr>
              <w:t xml:space="preserve">73.863.559 </w:t>
            </w:r>
            <w:r w:rsidR="00EC327E" w:rsidRPr="00B9608A">
              <w:rPr>
                <w:color w:val="FF0000"/>
                <w:lang w:val="fr-FR"/>
              </w:rPr>
              <w:t>€ pour 2023</w:t>
            </w:r>
            <w:r w:rsidR="00AC6665" w:rsidRPr="00B9608A">
              <w:rPr>
                <w:color w:val="FF0000"/>
                <w:lang w:val="fr-FR"/>
              </w:rPr>
              <w:t xml:space="preserve">), soit </w:t>
            </w:r>
            <w:r w:rsidR="008D06AB" w:rsidRPr="00B9608A">
              <w:rPr>
                <w:color w:val="FF0000"/>
                <w:lang w:val="fr-FR"/>
              </w:rPr>
              <w:t>31</w:t>
            </w:r>
            <w:r w:rsidR="00AC6665" w:rsidRPr="00B9608A">
              <w:rPr>
                <w:color w:val="FF0000"/>
                <w:lang w:val="fr-FR"/>
              </w:rPr>
              <w:t>,</w:t>
            </w:r>
            <w:r w:rsidR="008D06AB" w:rsidRPr="00B9608A">
              <w:rPr>
                <w:color w:val="FF0000"/>
                <w:lang w:val="fr-FR"/>
              </w:rPr>
              <w:t>4</w:t>
            </w:r>
            <w:r w:rsidR="00980768" w:rsidRPr="00B9608A">
              <w:rPr>
                <w:color w:val="FF0000"/>
                <w:lang w:val="fr-FR"/>
              </w:rPr>
              <w:t>% des besoins</w:t>
            </w:r>
            <w:r w:rsidR="00AC6665" w:rsidRPr="00B9608A">
              <w:rPr>
                <w:color w:val="FF0000"/>
                <w:lang w:val="fr-FR"/>
              </w:rPr>
              <w:t>.</w:t>
            </w:r>
            <w:r w:rsidR="00880C3E" w:rsidRPr="00B9608A">
              <w:rPr>
                <w:color w:val="FF0000"/>
                <w:lang w:val="fr-FR"/>
              </w:rPr>
              <w:t xml:space="preserve"> </w:t>
            </w:r>
            <w:r w:rsidR="001342DF" w:rsidRPr="00B9608A">
              <w:rPr>
                <w:color w:val="FF0000"/>
                <w:lang w:val="fr-FR"/>
              </w:rPr>
              <w:t xml:space="preserve"> </w:t>
            </w:r>
          </w:p>
          <w:p w14:paraId="4E364EAD" w14:textId="7AAEEFE2" w:rsidR="00440F35" w:rsidRDefault="00980768" w:rsidP="006603FF">
            <w:pPr>
              <w:pStyle w:val="Texteformulaire"/>
              <w:rPr>
                <w:lang w:val="fr-FR"/>
              </w:rPr>
            </w:pPr>
            <w:r>
              <w:rPr>
                <w:lang w:val="fr-FR"/>
              </w:rPr>
              <w:t>Ce dernier</w:t>
            </w:r>
            <w:r w:rsidR="006603FF" w:rsidRPr="00880C3E">
              <w:rPr>
                <w:lang w:val="fr-FR"/>
              </w:rPr>
              <w:t xml:space="preserve"> varie de 28% (coûts indirects et généraux) à 100% (</w:t>
            </w:r>
            <w:r w:rsidR="00AC6665" w:rsidRPr="00880C3E">
              <w:rPr>
                <w:lang w:val="fr-FR"/>
              </w:rPr>
              <w:t>c</w:t>
            </w:r>
            <w:r w:rsidR="006603FF" w:rsidRPr="00880C3E">
              <w:rPr>
                <w:lang w:val="fr-FR"/>
              </w:rPr>
              <w:t>oûts de gestion des achats et des stocks) selon les domaines prioritaires du PSN</w:t>
            </w:r>
            <w:r w:rsidR="00AC6665" w:rsidRPr="00880C3E">
              <w:rPr>
                <w:lang w:val="fr-FR"/>
              </w:rPr>
              <w:t xml:space="preserve"> 2021-2025</w:t>
            </w:r>
            <w:r w:rsidR="006603FF" w:rsidRPr="00880C3E">
              <w:rPr>
                <w:lang w:val="fr-FR"/>
              </w:rPr>
              <w:t>.</w:t>
            </w:r>
            <w:r w:rsidR="006603FF" w:rsidRPr="00EC327E">
              <w:rPr>
                <w:lang w:val="fr-FR"/>
              </w:rPr>
              <w:t xml:space="preserve"> </w:t>
            </w:r>
          </w:p>
          <w:p w14:paraId="7F5BA656" w14:textId="2521AED0" w:rsidR="00440F35" w:rsidRPr="00A816C4" w:rsidRDefault="00440F35">
            <w:pPr>
              <w:pStyle w:val="Texteformulaire"/>
              <w:rPr>
                <w:lang w:val="fr-FR"/>
              </w:rPr>
            </w:pPr>
            <w:r>
              <w:rPr>
                <w:lang w:val="fr-FR"/>
              </w:rPr>
              <w:t>Les</w:t>
            </w:r>
            <w:r w:rsidR="006603FF" w:rsidRPr="00EC327E">
              <w:rPr>
                <w:lang w:val="fr-FR"/>
              </w:rPr>
              <w:t xml:space="preserve"> </w:t>
            </w:r>
            <w:r>
              <w:rPr>
                <w:lang w:val="fr-FR"/>
              </w:rPr>
              <w:t>catégories de coûts du PSN pour lesquelles l’Etat apporte un effort de financement couvrant les besoins sont les « ressources humaines en santé », les « infrastructures » et les « </w:t>
            </w:r>
            <w:r w:rsidRPr="008F4D1D">
              <w:rPr>
                <w:lang w:val="fr-FR"/>
              </w:rPr>
              <w:t>coûts indirects et frais généraux</w:t>
            </w:r>
            <w:r>
              <w:rPr>
                <w:lang w:val="fr-FR"/>
              </w:rPr>
              <w:t> » du programme VIH. L’Etat s’investit également de façon significative pour le financement des « P</w:t>
            </w:r>
            <w:r w:rsidRPr="00440F35">
              <w:rPr>
                <w:lang w:val="fr-FR"/>
              </w:rPr>
              <w:t>roduits de santé - Produits pharmaceutiques</w:t>
            </w:r>
            <w:r>
              <w:rPr>
                <w:lang w:val="fr-FR"/>
              </w:rPr>
              <w:t> », des « </w:t>
            </w:r>
            <w:r w:rsidRPr="00440F35">
              <w:rPr>
                <w:lang w:val="fr-FR"/>
              </w:rPr>
              <w:t xml:space="preserve">Produits de santé </w:t>
            </w:r>
            <w:r>
              <w:rPr>
                <w:lang w:val="fr-FR"/>
              </w:rPr>
              <w:t>–</w:t>
            </w:r>
            <w:r w:rsidRPr="00440F35">
              <w:rPr>
                <w:lang w:val="fr-FR"/>
              </w:rPr>
              <w:t xml:space="preserve"> Équipements</w:t>
            </w:r>
            <w:r>
              <w:rPr>
                <w:lang w:val="fr-FR"/>
              </w:rPr>
              <w:t> » et de « l’</w:t>
            </w:r>
            <w:r w:rsidRPr="00440F35">
              <w:rPr>
                <w:lang w:val="fr-FR"/>
              </w:rPr>
              <w:t>Aide à la subsistance des clients/populations cibles</w:t>
            </w:r>
            <w:r>
              <w:rPr>
                <w:lang w:val="fr-FR"/>
              </w:rPr>
              <w:t xml:space="preserve"> ». </w:t>
            </w:r>
            <w:r w:rsidR="00A440C3" w:rsidRPr="00B9608A">
              <w:rPr>
                <w:color w:val="FF0000"/>
                <w:lang w:val="fr-FR"/>
              </w:rPr>
              <w:t xml:space="preserve">Le financement domestique estimé à </w:t>
            </w:r>
            <w:r w:rsidR="00B9608A" w:rsidRPr="00B9608A">
              <w:rPr>
                <w:color w:val="FF0000"/>
                <w:lang w:val="fr-FR"/>
              </w:rPr>
              <w:t>47,9</w:t>
            </w:r>
            <w:r w:rsidR="00A440C3" w:rsidRPr="00B9608A">
              <w:rPr>
                <w:color w:val="FF0000"/>
                <w:lang w:val="fr-FR"/>
              </w:rPr>
              <w:t xml:space="preserve"> millions d’euros</w:t>
            </w:r>
            <w:r w:rsidR="00B9608A" w:rsidRPr="00B9608A">
              <w:rPr>
                <w:color w:val="FF0000"/>
                <w:lang w:val="fr-FR"/>
              </w:rPr>
              <w:t xml:space="preserve"> en 2020</w:t>
            </w:r>
            <w:r w:rsidR="00A440C3" w:rsidRPr="00B9608A">
              <w:rPr>
                <w:color w:val="FF0000"/>
                <w:lang w:val="fr-FR"/>
              </w:rPr>
              <w:t xml:space="preserve"> devrait s’accroitre pour atteindre 5</w:t>
            </w:r>
            <w:r w:rsidR="00B9608A" w:rsidRPr="00B9608A">
              <w:rPr>
                <w:color w:val="FF0000"/>
                <w:lang w:val="fr-FR"/>
              </w:rPr>
              <w:t>4</w:t>
            </w:r>
            <w:r w:rsidR="00A440C3" w:rsidRPr="00B9608A">
              <w:rPr>
                <w:color w:val="FF0000"/>
                <w:lang w:val="fr-FR"/>
              </w:rPr>
              <w:t xml:space="preserve"> millions d’euros en </w:t>
            </w:r>
            <w:r w:rsidR="00B9608A" w:rsidRPr="00B9608A">
              <w:rPr>
                <w:color w:val="FF0000"/>
                <w:lang w:val="fr-FR"/>
              </w:rPr>
              <w:t xml:space="preserve">2021, 54,5 millions d’euros en 2022 et 55 millions d’euros en </w:t>
            </w:r>
            <w:r w:rsidR="00A440C3" w:rsidRPr="00B9608A">
              <w:rPr>
                <w:color w:val="FF0000"/>
                <w:lang w:val="fr-FR"/>
              </w:rPr>
              <w:t>2023.</w:t>
            </w:r>
            <w:r w:rsidR="00A440C3">
              <w:rPr>
                <w:lang w:val="fr-FR"/>
              </w:rPr>
              <w:t xml:space="preserve"> </w:t>
            </w:r>
          </w:p>
          <w:p w14:paraId="79534E6D" w14:textId="7F3ED702" w:rsidR="006603FF" w:rsidRPr="006603FF" w:rsidRDefault="00A816C4" w:rsidP="006603FF">
            <w:pPr>
              <w:pStyle w:val="Texteformulaire"/>
            </w:pPr>
            <w:proofErr w:type="spellStart"/>
            <w:r>
              <w:t>E</w:t>
            </w:r>
            <w:r w:rsidRPr="00256E8B">
              <w:t>n</w:t>
            </w:r>
            <w:proofErr w:type="spellEnd"/>
            <w:r w:rsidRPr="00256E8B">
              <w:t xml:space="preserve"> dehors de </w:t>
            </w:r>
            <w:proofErr w:type="spellStart"/>
            <w:r w:rsidRPr="00256E8B">
              <w:t>sa</w:t>
            </w:r>
            <w:proofErr w:type="spellEnd"/>
            <w:r w:rsidRPr="00256E8B">
              <w:t xml:space="preserve"> contribution </w:t>
            </w:r>
            <w:r>
              <w:t xml:space="preserve">au </w:t>
            </w:r>
            <w:proofErr w:type="spellStart"/>
            <w:r>
              <w:t>programme</w:t>
            </w:r>
            <w:proofErr w:type="spellEnd"/>
            <w:r>
              <w:t xml:space="preserve"> VIH</w:t>
            </w:r>
            <w:r w:rsidRPr="00256E8B">
              <w:t xml:space="preserve"> </w:t>
            </w:r>
            <w:r>
              <w:t xml:space="preserve">(y </w:t>
            </w:r>
            <w:proofErr w:type="spellStart"/>
            <w:r>
              <w:t>compris</w:t>
            </w:r>
            <w:proofErr w:type="spellEnd"/>
            <w:r>
              <w:t xml:space="preserve"> son</w:t>
            </w:r>
            <w:r w:rsidRPr="00256E8B">
              <w:t xml:space="preserve"> engagement </w:t>
            </w:r>
            <w:r>
              <w:t>de</w:t>
            </w:r>
            <w:r w:rsidRPr="00256E8B">
              <w:t xml:space="preserve"> </w:t>
            </w:r>
            <w:proofErr w:type="spellStart"/>
            <w:r w:rsidRPr="00256E8B">
              <w:t>cofinancement</w:t>
            </w:r>
            <w:proofErr w:type="spellEnd"/>
            <w:r>
              <w:t xml:space="preserve"> du NFM), l</w:t>
            </w:r>
            <w:r w:rsidR="006603FF" w:rsidRPr="00750CA9">
              <w:rPr>
                <w:lang w:val="fr-FR"/>
              </w:rPr>
              <w:t>e Gouvernement ivoirien</w:t>
            </w:r>
            <w:r>
              <w:rPr>
                <w:lang w:val="fr-FR"/>
              </w:rPr>
              <w:t xml:space="preserve"> </w:t>
            </w:r>
            <w:r w:rsidR="006603FF" w:rsidRPr="00750CA9">
              <w:rPr>
                <w:lang w:val="fr-FR"/>
              </w:rPr>
              <w:t>a obtenu</w:t>
            </w:r>
            <w:r>
              <w:rPr>
                <w:lang w:val="fr-FR"/>
              </w:rPr>
              <w:t xml:space="preserve"> </w:t>
            </w:r>
            <w:r w:rsidR="006603FF" w:rsidRPr="00750CA9">
              <w:rPr>
                <w:lang w:val="fr-FR"/>
              </w:rPr>
              <w:t>des engagements de</w:t>
            </w:r>
            <w:r>
              <w:rPr>
                <w:lang w:val="fr-FR"/>
              </w:rPr>
              <w:t xml:space="preserve"> se</w:t>
            </w:r>
            <w:r w:rsidR="006603FF" w:rsidRPr="00750CA9">
              <w:rPr>
                <w:lang w:val="fr-FR"/>
              </w:rPr>
              <w:t xml:space="preserve">s partenaires pour le maintien de leur </w:t>
            </w:r>
            <w:proofErr w:type="gramStart"/>
            <w:r w:rsidR="006603FF" w:rsidRPr="00750CA9">
              <w:rPr>
                <w:lang w:val="fr-FR"/>
              </w:rPr>
              <w:t>contribution</w:t>
            </w:r>
            <w:r w:rsidR="006603FF" w:rsidRPr="006603FF">
              <w:t xml:space="preserve"> :</w:t>
            </w:r>
            <w:proofErr w:type="gramEnd"/>
          </w:p>
          <w:p w14:paraId="2A22D395" w14:textId="2BB826FE" w:rsidR="006603FF" w:rsidRPr="006603FF" w:rsidRDefault="006603FF" w:rsidP="006603FF">
            <w:pPr>
              <w:pStyle w:val="liste1"/>
            </w:pPr>
            <w:r w:rsidRPr="006603FF">
              <w:t>PEPFAR contribue</w:t>
            </w:r>
            <w:r w:rsidR="00A816C4">
              <w:t xml:space="preserve"> par le</w:t>
            </w:r>
            <w:r w:rsidRPr="006603FF">
              <w:t xml:space="preserve"> </w:t>
            </w:r>
            <w:r w:rsidR="00090B7E">
              <w:t>COP-20</w:t>
            </w:r>
            <w:r w:rsidRPr="006603FF">
              <w:t xml:space="preserve"> à la lutte contre </w:t>
            </w:r>
            <w:r w:rsidR="00090B7E">
              <w:t xml:space="preserve">le </w:t>
            </w:r>
            <w:r w:rsidRPr="006603FF">
              <w:t xml:space="preserve">VIH pour un montant de </w:t>
            </w:r>
            <w:r w:rsidR="00654834" w:rsidRPr="00654834">
              <w:t>109 293 281</w:t>
            </w:r>
            <w:r w:rsidR="00654834">
              <w:t xml:space="preserve"> </w:t>
            </w:r>
            <w:r w:rsidRPr="006603FF">
              <w:t>€. Le financement du PEPFAR contribue essentiellement à la mise en œuvre d</w:t>
            </w:r>
            <w:r w:rsidR="00654834">
              <w:t>’un paquet complet d’</w:t>
            </w:r>
            <w:r w:rsidRPr="006603FF">
              <w:t>activités</w:t>
            </w:r>
            <w:r w:rsidR="00654834">
              <w:t xml:space="preserve"> dans </w:t>
            </w:r>
            <w:r w:rsidR="00654834" w:rsidRPr="001342DF">
              <w:t>30 DS</w:t>
            </w:r>
            <w:r w:rsidR="00654834">
              <w:t> ;</w:t>
            </w:r>
          </w:p>
          <w:p w14:paraId="6BEBC0DC" w14:textId="62E450D4" w:rsidR="004B65E0" w:rsidRDefault="006603FF" w:rsidP="00654834">
            <w:pPr>
              <w:pStyle w:val="liste1"/>
            </w:pPr>
            <w:r w:rsidRPr="006603FF">
              <w:t>L</w:t>
            </w:r>
            <w:r w:rsidR="00654834">
              <w:t>e système des Nations Unies f</w:t>
            </w:r>
            <w:r w:rsidRPr="006603FF">
              <w:t xml:space="preserve">inance la lutte contre </w:t>
            </w:r>
            <w:r w:rsidR="00654834">
              <w:t xml:space="preserve">le VIH </w:t>
            </w:r>
            <w:r w:rsidRPr="006603FF">
              <w:t xml:space="preserve">à travers son assistance technique. Son apport est estimé en moyenne à </w:t>
            </w:r>
            <w:r w:rsidR="00654834">
              <w:t>300</w:t>
            </w:r>
            <w:r w:rsidR="00654834" w:rsidRPr="006603FF">
              <w:t xml:space="preserve"> </w:t>
            </w:r>
            <w:r w:rsidR="00654834">
              <w:t>00</w:t>
            </w:r>
            <w:r w:rsidRPr="006603FF">
              <w:t xml:space="preserve">0 € </w:t>
            </w:r>
            <w:r w:rsidR="00654834">
              <w:t>par an, en soutien à la planification stratégique et opérationnelle, ainsi qu’à la mise à jour des politiques et directives nationales. L’</w:t>
            </w:r>
            <w:r w:rsidR="004B65E0">
              <w:t xml:space="preserve">UNFPA finance l’achat de </w:t>
            </w:r>
            <w:r w:rsidR="00654834">
              <w:t>préservatifs</w:t>
            </w:r>
            <w:r w:rsidR="004B65E0">
              <w:t xml:space="preserve"> et le programme d’éducation sexuelle complète</w:t>
            </w:r>
            <w:r w:rsidR="00654834">
              <w:t xml:space="preserve"> en milieu scolaire.</w:t>
            </w:r>
          </w:p>
          <w:p w14:paraId="1DBE26D3" w14:textId="77777777" w:rsidR="009C52E6" w:rsidRPr="00B9608A" w:rsidRDefault="006603FF" w:rsidP="00750CA9">
            <w:pPr>
              <w:pStyle w:val="Texteformulaire"/>
              <w:rPr>
                <w:color w:val="FF0000"/>
                <w:lang w:val="fr-FR"/>
              </w:rPr>
            </w:pPr>
            <w:r w:rsidRPr="00B9608A">
              <w:rPr>
                <w:color w:val="FF0000"/>
                <w:lang w:val="fr-FR"/>
              </w:rPr>
              <w:t>L</w:t>
            </w:r>
            <w:r w:rsidR="00A440C3" w:rsidRPr="00B9608A">
              <w:rPr>
                <w:color w:val="FF0000"/>
                <w:lang w:val="fr-FR"/>
              </w:rPr>
              <w:t>e cumul</w:t>
            </w:r>
            <w:r w:rsidRPr="00B9608A">
              <w:rPr>
                <w:color w:val="FF0000"/>
                <w:lang w:val="fr-FR"/>
              </w:rPr>
              <w:t xml:space="preserve"> des engagements financiers </w:t>
            </w:r>
            <w:r w:rsidR="00A440C3" w:rsidRPr="00B9608A">
              <w:rPr>
                <w:color w:val="FF0000"/>
                <w:lang w:val="fr-FR"/>
              </w:rPr>
              <w:t>d</w:t>
            </w:r>
            <w:r w:rsidRPr="00B9608A">
              <w:rPr>
                <w:color w:val="FF0000"/>
                <w:lang w:val="fr-FR"/>
              </w:rPr>
              <w:t xml:space="preserve">es partenaires et </w:t>
            </w:r>
            <w:r w:rsidR="00A440C3" w:rsidRPr="00B9608A">
              <w:rPr>
                <w:color w:val="FF0000"/>
                <w:lang w:val="fr-FR"/>
              </w:rPr>
              <w:t>du</w:t>
            </w:r>
            <w:r w:rsidRPr="00B9608A">
              <w:rPr>
                <w:color w:val="FF0000"/>
                <w:lang w:val="fr-FR"/>
              </w:rPr>
              <w:t xml:space="preserve"> gouvernement </w:t>
            </w:r>
            <w:r w:rsidR="00A440C3" w:rsidRPr="00B9608A">
              <w:rPr>
                <w:color w:val="FF0000"/>
                <w:lang w:val="fr-FR"/>
              </w:rPr>
              <w:t>est estimé</w:t>
            </w:r>
            <w:r w:rsidR="008D06AB" w:rsidRPr="00B9608A">
              <w:rPr>
                <w:color w:val="FF0000"/>
                <w:lang w:val="fr-FR"/>
              </w:rPr>
              <w:t xml:space="preserve"> à 163.870.299 € pour 2021, 154.801.463 € pour 2022 et 155.323.351 € </w:t>
            </w:r>
            <w:r w:rsidR="00980768" w:rsidRPr="00B9608A">
              <w:rPr>
                <w:color w:val="FF0000"/>
                <w:lang w:val="fr-FR"/>
              </w:rPr>
              <w:t>pour</w:t>
            </w:r>
            <w:r w:rsidR="00A440C3" w:rsidRPr="00B9608A">
              <w:rPr>
                <w:color w:val="FF0000"/>
                <w:lang w:val="fr-FR"/>
              </w:rPr>
              <w:t xml:space="preserve"> 2023. Ces engagements ne couvrent pas l’ensemble des besoins exp</w:t>
            </w:r>
            <w:r w:rsidR="00980768" w:rsidRPr="00B9608A">
              <w:rPr>
                <w:color w:val="FF0000"/>
                <w:lang w:val="fr-FR"/>
              </w:rPr>
              <w:t>r</w:t>
            </w:r>
            <w:r w:rsidR="00A440C3" w:rsidRPr="00B9608A">
              <w:rPr>
                <w:color w:val="FF0000"/>
                <w:lang w:val="fr-FR"/>
              </w:rPr>
              <w:t xml:space="preserve">imés dans le PSN 2021-2025. </w:t>
            </w:r>
          </w:p>
          <w:p w14:paraId="3529E780" w14:textId="12B49110" w:rsidR="006603FF" w:rsidRPr="00750CA9" w:rsidRDefault="006603FF" w:rsidP="00750CA9">
            <w:pPr>
              <w:pStyle w:val="Texteformulaire"/>
            </w:pPr>
            <w:proofErr w:type="spellStart"/>
            <w:r w:rsidRPr="00750CA9">
              <w:t>L’appui</w:t>
            </w:r>
            <w:proofErr w:type="spellEnd"/>
            <w:r w:rsidRPr="00750CA9">
              <w:t xml:space="preserve"> du FM </w:t>
            </w:r>
            <w:proofErr w:type="spellStart"/>
            <w:r w:rsidRPr="00750CA9">
              <w:t>permettra</w:t>
            </w:r>
            <w:proofErr w:type="spellEnd"/>
            <w:r w:rsidRPr="00750CA9">
              <w:t xml:space="preserve"> </w:t>
            </w:r>
            <w:proofErr w:type="spellStart"/>
            <w:r w:rsidR="009C52E6">
              <w:t>donc</w:t>
            </w:r>
            <w:proofErr w:type="spellEnd"/>
            <w:r w:rsidR="009C52E6">
              <w:t xml:space="preserve"> </w:t>
            </w:r>
            <w:r w:rsidRPr="00750CA9">
              <w:t xml:space="preserve">de </w:t>
            </w:r>
            <w:proofErr w:type="spellStart"/>
            <w:r w:rsidRPr="00750CA9">
              <w:t>relever</w:t>
            </w:r>
            <w:proofErr w:type="spellEnd"/>
            <w:r w:rsidRPr="00750CA9">
              <w:t xml:space="preserve"> les </w:t>
            </w:r>
            <w:proofErr w:type="spellStart"/>
            <w:r w:rsidRPr="00750CA9">
              <w:t>défis</w:t>
            </w:r>
            <w:proofErr w:type="spellEnd"/>
            <w:r w:rsidRPr="00750CA9">
              <w:t xml:space="preserve"> </w:t>
            </w:r>
            <w:proofErr w:type="spellStart"/>
            <w:r w:rsidR="00A440C3">
              <w:t>priorisés</w:t>
            </w:r>
            <w:proofErr w:type="spellEnd"/>
            <w:r w:rsidR="00A440C3">
              <w:t xml:space="preserve"> dans le PSN.</w:t>
            </w:r>
          </w:p>
          <w:p w14:paraId="1C781B61" w14:textId="4600BCE6" w:rsidR="00C66E61" w:rsidRPr="00750CA9" w:rsidRDefault="006603FF" w:rsidP="00750CA9">
            <w:pPr>
              <w:pStyle w:val="Texteformulaire"/>
            </w:pPr>
            <w:r w:rsidRPr="00750CA9">
              <w:t xml:space="preserve">Le Dialogue Pays </w:t>
            </w:r>
            <w:r w:rsidR="00C66E61">
              <w:t>conduit</w:t>
            </w:r>
            <w:r w:rsidR="00C66E61" w:rsidRPr="00750CA9">
              <w:t xml:space="preserve"> </w:t>
            </w:r>
            <w:r w:rsidRPr="00750CA9">
              <w:t xml:space="preserve">par le CCM (Country Coordinating Mechanism) a </w:t>
            </w:r>
            <w:proofErr w:type="spellStart"/>
            <w:r w:rsidRPr="00750CA9">
              <w:t>permis</w:t>
            </w:r>
            <w:proofErr w:type="spellEnd"/>
            <w:r w:rsidRPr="00750CA9">
              <w:t xml:space="preserve"> la </w:t>
            </w:r>
            <w:proofErr w:type="spellStart"/>
            <w:r w:rsidRPr="00750CA9">
              <w:t>mobilisation</w:t>
            </w:r>
            <w:proofErr w:type="spellEnd"/>
            <w:r w:rsidRPr="00750CA9">
              <w:t xml:space="preserve"> de </w:t>
            </w:r>
            <w:proofErr w:type="spellStart"/>
            <w:r w:rsidRPr="00750CA9">
              <w:t>tous</w:t>
            </w:r>
            <w:proofErr w:type="spellEnd"/>
            <w:r w:rsidRPr="00750CA9">
              <w:t xml:space="preserve"> les </w:t>
            </w:r>
            <w:proofErr w:type="spellStart"/>
            <w:r w:rsidRPr="00750CA9">
              <w:t>partenaires</w:t>
            </w:r>
            <w:proofErr w:type="spellEnd"/>
            <w:r w:rsidRPr="00750CA9">
              <w:t xml:space="preserve"> </w:t>
            </w:r>
            <w:proofErr w:type="spellStart"/>
            <w:r w:rsidRPr="00750CA9">
              <w:t>afin</w:t>
            </w:r>
            <w:proofErr w:type="spellEnd"/>
            <w:r w:rsidRPr="00750CA9">
              <w:t xml:space="preserve"> de </w:t>
            </w:r>
            <w:proofErr w:type="spellStart"/>
            <w:r w:rsidRPr="00750CA9">
              <w:t>garantir</w:t>
            </w:r>
            <w:proofErr w:type="spellEnd"/>
            <w:r w:rsidRPr="00750CA9">
              <w:t xml:space="preserve"> </w:t>
            </w:r>
            <w:proofErr w:type="spellStart"/>
            <w:r w:rsidRPr="00750CA9">
              <w:t>l’inclusion</w:t>
            </w:r>
            <w:proofErr w:type="spellEnd"/>
            <w:r w:rsidRPr="00750CA9">
              <w:t xml:space="preserve"> de </w:t>
            </w:r>
            <w:proofErr w:type="spellStart"/>
            <w:r w:rsidRPr="00750CA9">
              <w:t>tous</w:t>
            </w:r>
            <w:proofErr w:type="spellEnd"/>
            <w:r w:rsidRPr="00750CA9">
              <w:t xml:space="preserve"> les </w:t>
            </w:r>
            <w:proofErr w:type="spellStart"/>
            <w:r w:rsidRPr="00750CA9">
              <w:t>acteurs</w:t>
            </w:r>
            <w:proofErr w:type="spellEnd"/>
            <w:r w:rsidRPr="00750CA9">
              <w:t xml:space="preserve"> dans le </w:t>
            </w:r>
            <w:proofErr w:type="spellStart"/>
            <w:r w:rsidRPr="00750CA9">
              <w:t>processus</w:t>
            </w:r>
            <w:proofErr w:type="spellEnd"/>
            <w:r w:rsidRPr="00750CA9">
              <w:t xml:space="preserve"> de </w:t>
            </w:r>
            <w:proofErr w:type="spellStart"/>
            <w:r w:rsidRPr="00750CA9">
              <w:t>développement</w:t>
            </w:r>
            <w:proofErr w:type="spellEnd"/>
            <w:r w:rsidRPr="00750CA9">
              <w:t xml:space="preserve"> </w:t>
            </w:r>
            <w:r w:rsidR="00C66E61">
              <w:t>du PSN 2021-2025, de son budget</w:t>
            </w:r>
            <w:r w:rsidRPr="00750CA9">
              <w:t xml:space="preserve"> et de la </w:t>
            </w:r>
            <w:proofErr w:type="spellStart"/>
            <w:r w:rsidR="00C66E61">
              <w:t>demande</w:t>
            </w:r>
            <w:proofErr w:type="spellEnd"/>
            <w:r w:rsidR="00C66E61">
              <w:t xml:space="preserve"> de </w:t>
            </w:r>
            <w:proofErr w:type="spellStart"/>
            <w:r w:rsidR="00C66E61">
              <w:t>financement</w:t>
            </w:r>
            <w:proofErr w:type="spellEnd"/>
            <w:r w:rsidR="00C66E61">
              <w:t xml:space="preserve"> NFM3</w:t>
            </w:r>
            <w:r w:rsidRPr="00750CA9">
              <w:t xml:space="preserve">. </w:t>
            </w:r>
          </w:p>
          <w:p w14:paraId="2CBA8BA0" w14:textId="124A456F" w:rsidR="00C66E61" w:rsidRPr="00750CA9" w:rsidRDefault="00C66E61" w:rsidP="00750CA9">
            <w:pPr>
              <w:pStyle w:val="Texteformulaire"/>
            </w:pPr>
            <w:r>
              <w:t>D</w:t>
            </w:r>
            <w:r w:rsidR="006603FF" w:rsidRPr="00750CA9">
              <w:t xml:space="preserve">es </w:t>
            </w:r>
            <w:proofErr w:type="spellStart"/>
            <w:r w:rsidR="006603FF" w:rsidRPr="00750CA9">
              <w:t>réunions</w:t>
            </w:r>
            <w:proofErr w:type="spellEnd"/>
            <w:r w:rsidR="006603FF" w:rsidRPr="00750CA9">
              <w:t xml:space="preserve"> de concertation </w:t>
            </w:r>
            <w:r>
              <w:t xml:space="preserve">avec les </w:t>
            </w:r>
            <w:proofErr w:type="spellStart"/>
            <w:r w:rsidR="006603FF" w:rsidRPr="00750CA9">
              <w:t>partenaires</w:t>
            </w:r>
            <w:proofErr w:type="spellEnd"/>
            <w:r w:rsidR="006603FF" w:rsidRPr="00750CA9">
              <w:t xml:space="preserve"> techniques et financier </w:t>
            </w:r>
            <w:proofErr w:type="spellStart"/>
            <w:r>
              <w:t>sont</w:t>
            </w:r>
            <w:proofErr w:type="spellEnd"/>
            <w:r>
              <w:t xml:space="preserve"> </w:t>
            </w:r>
            <w:proofErr w:type="spellStart"/>
            <w:r>
              <w:t>prévues</w:t>
            </w:r>
            <w:proofErr w:type="spellEnd"/>
            <w:r>
              <w:t xml:space="preserve"> </w:t>
            </w:r>
            <w:r w:rsidR="006603FF" w:rsidRPr="00750CA9">
              <w:t xml:space="preserve">tout au long de la </w:t>
            </w:r>
            <w:proofErr w:type="spellStart"/>
            <w:r w:rsidR="006603FF" w:rsidRPr="00750CA9">
              <w:t>période</w:t>
            </w:r>
            <w:proofErr w:type="spellEnd"/>
            <w:r w:rsidR="006603FF" w:rsidRPr="00750CA9">
              <w:t xml:space="preserve"> de mise </w:t>
            </w:r>
            <w:proofErr w:type="spellStart"/>
            <w:r w:rsidR="006603FF" w:rsidRPr="00750CA9">
              <w:t>en</w:t>
            </w:r>
            <w:proofErr w:type="spellEnd"/>
            <w:r w:rsidR="006603FF" w:rsidRPr="00750CA9">
              <w:t xml:space="preserve"> </w:t>
            </w:r>
            <w:proofErr w:type="spellStart"/>
            <w:r w:rsidR="006603FF" w:rsidRPr="00750CA9">
              <w:t>œuvre</w:t>
            </w:r>
            <w:proofErr w:type="spellEnd"/>
            <w:r w:rsidR="006603FF" w:rsidRPr="00750CA9">
              <w:t xml:space="preserve"> du PSN de </w:t>
            </w:r>
            <w:proofErr w:type="spellStart"/>
            <w:r w:rsidR="006603FF" w:rsidRPr="00750CA9">
              <w:t>lutte</w:t>
            </w:r>
            <w:proofErr w:type="spellEnd"/>
            <w:r w:rsidR="006603FF" w:rsidRPr="00750CA9">
              <w:t xml:space="preserve"> </w:t>
            </w:r>
            <w:proofErr w:type="spellStart"/>
            <w:r w:rsidR="006603FF" w:rsidRPr="00750CA9">
              <w:t>contre</w:t>
            </w:r>
            <w:proofErr w:type="spellEnd"/>
            <w:r w:rsidR="006603FF" w:rsidRPr="00750CA9">
              <w:t xml:space="preserve"> </w:t>
            </w:r>
            <w:r>
              <w:t xml:space="preserve">le VIH pour </w:t>
            </w:r>
            <w:proofErr w:type="spellStart"/>
            <w:r>
              <w:t>rendre</w:t>
            </w:r>
            <w:proofErr w:type="spellEnd"/>
            <w:r>
              <w:t xml:space="preserve"> </w:t>
            </w:r>
            <w:proofErr w:type="spellStart"/>
            <w:r>
              <w:t>compte</w:t>
            </w:r>
            <w:proofErr w:type="spellEnd"/>
            <w:r>
              <w:t xml:space="preserve"> de </w:t>
            </w:r>
            <w:proofErr w:type="spellStart"/>
            <w:r>
              <w:t>l’utilisation</w:t>
            </w:r>
            <w:proofErr w:type="spellEnd"/>
            <w:r>
              <w:t xml:space="preserve"> des </w:t>
            </w:r>
            <w:proofErr w:type="spellStart"/>
            <w:r>
              <w:t>ressources</w:t>
            </w:r>
            <w:proofErr w:type="spellEnd"/>
            <w:r>
              <w:t xml:space="preserve"> </w:t>
            </w:r>
            <w:proofErr w:type="spellStart"/>
            <w:r>
              <w:t>mobilisées</w:t>
            </w:r>
            <w:proofErr w:type="spellEnd"/>
            <w:r>
              <w:t xml:space="preserve"> </w:t>
            </w:r>
            <w:proofErr w:type="spellStart"/>
            <w:r>
              <w:t>auprès</w:t>
            </w:r>
            <w:proofErr w:type="spellEnd"/>
            <w:r>
              <w:t xml:space="preserve"> </w:t>
            </w:r>
            <w:proofErr w:type="spellStart"/>
            <w:r>
              <w:t>d’eux</w:t>
            </w:r>
            <w:proofErr w:type="spellEnd"/>
            <w:r>
              <w:t xml:space="preserve"> et encourager la </w:t>
            </w:r>
            <w:proofErr w:type="spellStart"/>
            <w:r>
              <w:t>poursuite</w:t>
            </w:r>
            <w:proofErr w:type="spellEnd"/>
            <w:r>
              <w:t xml:space="preserve"> de </w:t>
            </w:r>
            <w:proofErr w:type="spellStart"/>
            <w:r>
              <w:t>leur</w:t>
            </w:r>
            <w:proofErr w:type="spellEnd"/>
            <w:r>
              <w:t xml:space="preserve"> </w:t>
            </w:r>
            <w:proofErr w:type="spellStart"/>
            <w:r>
              <w:t>mobili</w:t>
            </w:r>
            <w:r w:rsidR="006854A2">
              <w:t>s</w:t>
            </w:r>
            <w:r>
              <w:t>ation</w:t>
            </w:r>
            <w:proofErr w:type="spellEnd"/>
            <w:r>
              <w:t xml:space="preserve"> au</w:t>
            </w:r>
            <w:r w:rsidR="006854A2">
              <w:t>x</w:t>
            </w:r>
            <w:r>
              <w:t xml:space="preserve"> </w:t>
            </w:r>
            <w:proofErr w:type="spellStart"/>
            <w:r w:rsidR="006854A2">
              <w:t>côtés</w:t>
            </w:r>
            <w:proofErr w:type="spellEnd"/>
            <w:r w:rsidR="006854A2">
              <w:t xml:space="preserve"> du </w:t>
            </w:r>
            <w:proofErr w:type="spellStart"/>
            <w:r w:rsidR="006854A2">
              <w:t>gouvernement</w:t>
            </w:r>
            <w:proofErr w:type="spellEnd"/>
            <w:r w:rsidR="006854A2">
              <w:t xml:space="preserve"> </w:t>
            </w:r>
            <w:proofErr w:type="spellStart"/>
            <w:r w:rsidR="006854A2">
              <w:t>ivoirien</w:t>
            </w:r>
            <w:proofErr w:type="spellEnd"/>
            <w:r w:rsidR="006603FF" w:rsidRPr="00750CA9">
              <w:t>.</w:t>
            </w:r>
          </w:p>
          <w:p w14:paraId="4BD47A1E" w14:textId="443EFC1C" w:rsidR="006603FF" w:rsidRPr="00750CA9" w:rsidRDefault="006854A2" w:rsidP="006603FF">
            <w:pPr>
              <w:pStyle w:val="Texteformulaire"/>
              <w:rPr>
                <w:lang w:val="fr-FR"/>
              </w:rPr>
            </w:pPr>
            <w:r>
              <w:rPr>
                <w:lang w:val="fr-FR"/>
              </w:rPr>
              <w:t>S</w:t>
            </w:r>
            <w:r w:rsidR="006603FF" w:rsidRPr="00750CA9">
              <w:rPr>
                <w:lang w:val="fr-FR"/>
              </w:rPr>
              <w:t xml:space="preserve">ous le leadership du </w:t>
            </w:r>
            <w:r>
              <w:rPr>
                <w:lang w:val="fr-FR"/>
              </w:rPr>
              <w:t xml:space="preserve">CNLS, </w:t>
            </w:r>
            <w:r w:rsidR="006603FF" w:rsidRPr="00750CA9">
              <w:rPr>
                <w:lang w:val="fr-FR"/>
              </w:rPr>
              <w:t xml:space="preserve">en étroite collaboration avec le CCM, </w:t>
            </w:r>
            <w:r>
              <w:rPr>
                <w:lang w:val="fr-FR"/>
              </w:rPr>
              <w:t>le</w:t>
            </w:r>
            <w:r w:rsidRPr="00ED3BDA" w:rsidDel="006854A2">
              <w:rPr>
                <w:lang w:val="fr-FR"/>
              </w:rPr>
              <w:t xml:space="preserve"> </w:t>
            </w:r>
            <w:r>
              <w:rPr>
                <w:lang w:val="fr-FR"/>
              </w:rPr>
              <w:t>MSHP (PNLS et FNLS) c</w:t>
            </w:r>
            <w:r w:rsidR="006603FF" w:rsidRPr="00750CA9">
              <w:rPr>
                <w:lang w:val="fr-FR"/>
              </w:rPr>
              <w:t>ontinuer</w:t>
            </w:r>
            <w:r>
              <w:rPr>
                <w:lang w:val="fr-FR"/>
              </w:rPr>
              <w:t>a</w:t>
            </w:r>
            <w:r w:rsidR="006603FF" w:rsidRPr="00750CA9">
              <w:rPr>
                <w:lang w:val="fr-FR"/>
              </w:rPr>
              <w:t xml:space="preserve"> à coordonner et à superviser la mise en œuvre des interventions planifiées</w:t>
            </w:r>
            <w:r>
              <w:rPr>
                <w:lang w:val="fr-FR"/>
              </w:rPr>
              <w:t>,</w:t>
            </w:r>
            <w:r w:rsidR="006603FF" w:rsidRPr="00750CA9">
              <w:rPr>
                <w:lang w:val="fr-FR"/>
              </w:rPr>
              <w:t xml:space="preserve"> </w:t>
            </w:r>
            <w:r>
              <w:rPr>
                <w:lang w:val="fr-FR"/>
              </w:rPr>
              <w:t>dans une approche d’optimisation de l’</w:t>
            </w:r>
            <w:r w:rsidR="006603FF" w:rsidRPr="00750CA9">
              <w:rPr>
                <w:lang w:val="fr-FR"/>
              </w:rPr>
              <w:t>utilisation des ressources disponibles.</w:t>
            </w:r>
            <w:r>
              <w:rPr>
                <w:lang w:val="fr-FR"/>
              </w:rPr>
              <w:t xml:space="preserve"> Par exemple, pour les activités de renforcement de capacités, des solutions d’enseignement à distance (e-learning, visioconférences, télémédecine) seront privilégiées à chaque fois que cela sera possible.</w:t>
            </w:r>
          </w:p>
          <w:p w14:paraId="04D0935E" w14:textId="11B76608" w:rsidR="004B1905" w:rsidRDefault="006603FF" w:rsidP="006603FF">
            <w:pPr>
              <w:pStyle w:val="Texteformulaire"/>
              <w:rPr>
                <w:lang w:val="fr-FR"/>
              </w:rPr>
            </w:pPr>
            <w:r w:rsidRPr="00750CA9">
              <w:rPr>
                <w:lang w:val="fr-FR"/>
              </w:rPr>
              <w:lastRenderedPageBreak/>
              <w:t xml:space="preserve">L’Etat </w:t>
            </w:r>
            <w:r w:rsidR="006854A2">
              <w:rPr>
                <w:lang w:val="fr-FR"/>
              </w:rPr>
              <w:t xml:space="preserve">ivoirien </w:t>
            </w:r>
            <w:r w:rsidRPr="00750CA9">
              <w:rPr>
                <w:lang w:val="fr-FR"/>
              </w:rPr>
              <w:t xml:space="preserve">s’engage </w:t>
            </w:r>
            <w:r w:rsidR="004B1905">
              <w:rPr>
                <w:lang w:val="fr-FR"/>
              </w:rPr>
              <w:t>de surcroit</w:t>
            </w:r>
            <w:r w:rsidR="006854A2">
              <w:rPr>
                <w:lang w:val="fr-FR"/>
              </w:rPr>
              <w:t xml:space="preserve"> à</w:t>
            </w:r>
            <w:r w:rsidRPr="00750CA9">
              <w:rPr>
                <w:lang w:val="fr-FR"/>
              </w:rPr>
              <w:t xml:space="preserve"> poursuivre </w:t>
            </w:r>
            <w:r w:rsidR="006854A2">
              <w:rPr>
                <w:lang w:val="fr-FR"/>
              </w:rPr>
              <w:t>s</w:t>
            </w:r>
            <w:r w:rsidRPr="00750CA9">
              <w:rPr>
                <w:lang w:val="fr-FR"/>
              </w:rPr>
              <w:t>es efforts de mobilisation de ressources additionnelles</w:t>
            </w:r>
            <w:r w:rsidR="004B1905">
              <w:rPr>
                <w:lang w:val="fr-FR"/>
              </w:rPr>
              <w:t>,</w:t>
            </w:r>
            <w:r w:rsidRPr="00750CA9">
              <w:rPr>
                <w:lang w:val="fr-FR"/>
              </w:rPr>
              <w:t xml:space="preserve"> tant au niveau national qu’international</w:t>
            </w:r>
            <w:r w:rsidR="004B1905">
              <w:rPr>
                <w:lang w:val="fr-FR"/>
              </w:rPr>
              <w:t>, à travers :</w:t>
            </w:r>
          </w:p>
          <w:p w14:paraId="0DA4843D" w14:textId="2666B9FB" w:rsidR="004B1905" w:rsidRDefault="004B1905" w:rsidP="004B1905">
            <w:pPr>
              <w:pStyle w:val="liste1"/>
            </w:pPr>
            <w:r>
              <w:t>L</w:t>
            </w:r>
            <w:r w:rsidRPr="002B33B3">
              <w:t>es mécanismes de mobilisation de ressources sont en cours (atelier de financement de la santé, plateforme nationale de mobilisation de ressources</w:t>
            </w:r>
            <w:r>
              <w:t xml:space="preserve"> / plateforme des PTF</w:t>
            </w:r>
            <w:r w:rsidRPr="002B33B3">
              <w:t>)</w:t>
            </w:r>
            <w:r>
              <w:t> ;</w:t>
            </w:r>
          </w:p>
          <w:p w14:paraId="7F4BCC9E" w14:textId="43D1F295" w:rsidR="004B1905" w:rsidRDefault="004B1905" w:rsidP="00750CA9">
            <w:pPr>
              <w:pStyle w:val="liste1"/>
            </w:pPr>
            <w:r>
              <w:t>La CNAM-CI, qui à terme devrait prendre en charge les dépenses de santé liées au VIH, grâce à la généralisation du dispositif d’assurance maladie universelle ;</w:t>
            </w:r>
          </w:p>
          <w:p w14:paraId="5CB767CB" w14:textId="660F4136" w:rsidR="0098274C" w:rsidRPr="00750CA9" w:rsidRDefault="004B1905" w:rsidP="00750CA9">
            <w:pPr>
              <w:pStyle w:val="liste1"/>
            </w:pPr>
            <w:r>
              <w:t>Le processus de transition de financement de la réponse au VIH, amorcé depuis quelques années, qui doit aboutir à terme à un financement domestique intégral de cette réponse, à partir de mécanismes de financement pérenne en Côte d’Ivoire</w:t>
            </w:r>
            <w:r w:rsidR="00206BA8">
              <w:t xml:space="preserve"> </w:t>
            </w:r>
            <w:r w:rsidR="00206BA8" w:rsidRPr="00206BA8">
              <w:rPr>
                <w:i/>
                <w:iCs/>
              </w:rPr>
              <w:t>(Annexe 37)</w:t>
            </w:r>
            <w:r>
              <w:t xml:space="preserve">. </w:t>
            </w:r>
          </w:p>
        </w:tc>
      </w:tr>
    </w:tbl>
    <w:p w14:paraId="70FA9743" w14:textId="43BA2FD2" w:rsidR="00B46BEF" w:rsidRPr="005305D5" w:rsidRDefault="00B46BEF" w:rsidP="009B6C0D">
      <w:pPr>
        <w:spacing w:after="0"/>
      </w:pPr>
    </w:p>
    <w:p w14:paraId="2A333638" w14:textId="3CB194CE" w:rsidR="00EA6611" w:rsidRPr="00D236CA" w:rsidRDefault="0098274C" w:rsidP="00A140D5">
      <w:pPr>
        <w:pStyle w:val="ListParagraph"/>
        <w:numPr>
          <w:ilvl w:val="0"/>
          <w:numId w:val="19"/>
        </w:numPr>
        <w:spacing w:after="0" w:line="260" w:lineRule="atLeast"/>
        <w:jc w:val="both"/>
      </w:pPr>
      <w:bookmarkStart w:id="31" w:name="_Hlk13735435"/>
      <w:r w:rsidRPr="00D474E6">
        <w:t xml:space="preserve">Mettre en lumière les difficultés en matière de pérennité (voir la liste indicative figurant dans les </w:t>
      </w:r>
      <w:r w:rsidRPr="00D474E6">
        <w:rPr>
          <w:i/>
        </w:rPr>
        <w:t>Instructions</w:t>
      </w:r>
      <w:r w:rsidRPr="00D474E6">
        <w:t xml:space="preserve">). Expliquer comment ces difficultés seront résolues soit au moyen de la présente demande de financement soit par d’autres moyens. Si cet élément est déjà décrit dans la stratégie nationale, dans le plan de pérennité </w:t>
      </w:r>
      <w:r w:rsidR="006744F6">
        <w:t>et/</w:t>
      </w:r>
      <w:r w:rsidRPr="00D474E6">
        <w:t xml:space="preserve">ou de transition, </w:t>
      </w:r>
      <w:r w:rsidR="006744F6">
        <w:t>et/</w:t>
      </w:r>
      <w:r w:rsidRPr="00D474E6">
        <w:t xml:space="preserve">ou dans tout autre document joint à la demande de financement, faire référence aux sections correspondantes de ces documents. </w:t>
      </w:r>
    </w:p>
    <w:p w14:paraId="78CBEE63" w14:textId="77777777" w:rsidR="001C4A0C" w:rsidRPr="00D236CA" w:rsidRDefault="001C4A0C" w:rsidP="009B6C0D">
      <w:pPr>
        <w:pStyle w:val="ListParagraph"/>
        <w:spacing w:after="0" w:line="260" w:lineRule="atLeast"/>
        <w:ind w:left="360"/>
        <w:jc w:val="both"/>
        <w:rPr>
          <w:highlight w:val="yellow"/>
        </w:rPr>
      </w:pPr>
    </w:p>
    <w:tbl>
      <w:tblPr>
        <w:tblStyle w:val="TableGrid"/>
        <w:tblW w:w="0" w:type="auto"/>
        <w:tblLook w:val="04A0" w:firstRow="1" w:lastRow="0" w:firstColumn="1" w:lastColumn="0" w:noHBand="0" w:noVBand="1"/>
      </w:tblPr>
      <w:tblGrid>
        <w:gridCol w:w="10456"/>
      </w:tblGrid>
      <w:tr w:rsidR="00EA6611" w:rsidRPr="005305D5" w14:paraId="34920C4D" w14:textId="77777777" w:rsidTr="11463A1D">
        <w:tc>
          <w:tcPr>
            <w:tcW w:w="10790" w:type="dxa"/>
          </w:tcPr>
          <w:bookmarkEnd w:id="31"/>
          <w:p w14:paraId="3847E520" w14:textId="77777777" w:rsidR="006603FF" w:rsidRPr="006603FF" w:rsidRDefault="006603FF" w:rsidP="006603FF">
            <w:pPr>
              <w:spacing w:after="0"/>
              <w:rPr>
                <w:rFonts w:ascii="Arial" w:eastAsiaTheme="minorHAnsi" w:hAnsi="Arial"/>
                <w:b/>
                <w:lang w:bidi="fr-FR"/>
              </w:rPr>
            </w:pPr>
            <w:r w:rsidRPr="006603FF">
              <w:rPr>
                <w:b/>
                <w:sz w:val="22"/>
                <w:szCs w:val="22"/>
                <w:lang w:bidi="fr-FR"/>
              </w:rPr>
              <w:t>Difficultés</w:t>
            </w:r>
            <w:r w:rsidRPr="006603FF">
              <w:rPr>
                <w:b/>
                <w:lang w:bidi="fr-FR"/>
              </w:rPr>
              <w:t> </w:t>
            </w:r>
          </w:p>
          <w:p w14:paraId="241F74D2" w14:textId="2ED304CF" w:rsidR="006556BC" w:rsidRDefault="006603FF" w:rsidP="006603FF">
            <w:pPr>
              <w:pStyle w:val="liste1"/>
              <w:rPr>
                <w:lang w:bidi="fr-FR"/>
              </w:rPr>
            </w:pPr>
            <w:r w:rsidRPr="006603FF">
              <w:rPr>
                <w:lang w:bidi="fr-FR"/>
              </w:rPr>
              <w:t xml:space="preserve">Insuffisance du budget de l’Etat </w:t>
            </w:r>
            <w:r w:rsidR="006556BC">
              <w:rPr>
                <w:lang w:bidi="fr-FR"/>
              </w:rPr>
              <w:t>pour</w:t>
            </w:r>
            <w:r w:rsidR="006556BC" w:rsidRPr="006603FF">
              <w:rPr>
                <w:lang w:bidi="fr-FR"/>
              </w:rPr>
              <w:t xml:space="preserve"> </w:t>
            </w:r>
            <w:r w:rsidRPr="006603FF">
              <w:rPr>
                <w:lang w:bidi="fr-FR"/>
              </w:rPr>
              <w:t>le financement de la santé</w:t>
            </w:r>
            <w:r w:rsidR="006556BC">
              <w:rPr>
                <w:lang w:bidi="fr-FR"/>
              </w:rPr>
              <w:t>,</w:t>
            </w:r>
            <w:r w:rsidRPr="006603FF">
              <w:rPr>
                <w:lang w:bidi="fr-FR"/>
              </w:rPr>
              <w:t xml:space="preserve"> avec 5% de contribution u budget national</w:t>
            </w:r>
            <w:r w:rsidR="00DE3655">
              <w:rPr>
                <w:lang w:bidi="fr-FR"/>
              </w:rPr>
              <w:t xml:space="preserve">, qui impacte </w:t>
            </w:r>
            <w:r w:rsidRPr="006603FF">
              <w:rPr>
                <w:lang w:bidi="fr-FR"/>
              </w:rPr>
              <w:t>négativement la part accordée à la lutte contre le VIH/</w:t>
            </w:r>
            <w:r w:rsidR="006556BC">
              <w:rPr>
                <w:lang w:bidi="fr-FR"/>
              </w:rPr>
              <w:t>sida</w:t>
            </w:r>
          </w:p>
          <w:p w14:paraId="392DCBD4" w14:textId="534D47E3" w:rsidR="006603FF" w:rsidRPr="006603FF" w:rsidRDefault="00DE3655" w:rsidP="006603FF">
            <w:pPr>
              <w:pStyle w:val="liste1"/>
              <w:rPr>
                <w:lang w:bidi="fr-FR"/>
              </w:rPr>
            </w:pPr>
            <w:r>
              <w:rPr>
                <w:lang w:bidi="fr-FR"/>
              </w:rPr>
              <w:t>Gestion défaillante</w:t>
            </w:r>
            <w:r w:rsidR="006603FF" w:rsidRPr="006603FF">
              <w:rPr>
                <w:lang w:bidi="fr-FR"/>
              </w:rPr>
              <w:t xml:space="preserve"> des ressources humaines </w:t>
            </w:r>
            <w:r>
              <w:rPr>
                <w:lang w:bidi="fr-FR"/>
              </w:rPr>
              <w:t xml:space="preserve">en santé (répartition inéquitable des RHS), qui se traduit par des difficultés à </w:t>
            </w:r>
            <w:r w:rsidR="006603FF" w:rsidRPr="006603FF">
              <w:rPr>
                <w:lang w:bidi="fr-FR"/>
              </w:rPr>
              <w:t>mener à bien les activités</w:t>
            </w:r>
            <w:r>
              <w:rPr>
                <w:lang w:bidi="fr-FR"/>
              </w:rPr>
              <w:t>,</w:t>
            </w:r>
            <w:r w:rsidR="006603FF" w:rsidRPr="006603FF">
              <w:rPr>
                <w:lang w:bidi="fr-FR"/>
              </w:rPr>
              <w:t xml:space="preserve"> tant au niveau central que </w:t>
            </w:r>
            <w:r>
              <w:rPr>
                <w:lang w:bidi="fr-FR"/>
              </w:rPr>
              <w:t>décentralisées</w:t>
            </w:r>
          </w:p>
          <w:p w14:paraId="2CF1450E" w14:textId="4040334E" w:rsidR="006603FF" w:rsidRPr="006603FF" w:rsidRDefault="006603FF" w:rsidP="006603FF">
            <w:pPr>
              <w:pStyle w:val="liste1"/>
              <w:rPr>
                <w:lang w:bidi="fr-FR"/>
              </w:rPr>
            </w:pPr>
            <w:r w:rsidRPr="006603FF">
              <w:rPr>
                <w:lang w:bidi="fr-FR"/>
              </w:rPr>
              <w:t xml:space="preserve">Insuffisance dans la production des données </w:t>
            </w:r>
            <w:r w:rsidR="00DE3655">
              <w:rPr>
                <w:lang w:bidi="fr-FR"/>
              </w:rPr>
              <w:t xml:space="preserve">statistiques </w:t>
            </w:r>
            <w:r w:rsidRPr="006603FF">
              <w:rPr>
                <w:lang w:bidi="fr-FR"/>
              </w:rPr>
              <w:t>de qualité</w:t>
            </w:r>
            <w:r w:rsidR="00DE3655">
              <w:rPr>
                <w:lang w:bidi="fr-FR"/>
              </w:rPr>
              <w:t xml:space="preserve"> en matière de gestion des produits de santé, liée aux</w:t>
            </w:r>
            <w:r w:rsidRPr="006603FF">
              <w:rPr>
                <w:lang w:bidi="fr-FR"/>
              </w:rPr>
              <w:t xml:space="preserve"> difficultés </w:t>
            </w:r>
            <w:r w:rsidR="00DE3655">
              <w:rPr>
                <w:lang w:bidi="fr-FR"/>
              </w:rPr>
              <w:t xml:space="preserve">de </w:t>
            </w:r>
            <w:r w:rsidRPr="006603FF">
              <w:rPr>
                <w:lang w:bidi="fr-FR"/>
              </w:rPr>
              <w:t>collecte des informations sur les commandes et les livraisons</w:t>
            </w:r>
          </w:p>
          <w:p w14:paraId="3EF2F70A" w14:textId="1220C636" w:rsidR="006603FF" w:rsidRPr="006603FF" w:rsidRDefault="006603FF" w:rsidP="006603FF">
            <w:pPr>
              <w:pStyle w:val="liste1"/>
              <w:rPr>
                <w:lang w:bidi="fr-FR"/>
              </w:rPr>
            </w:pPr>
            <w:r w:rsidRPr="006603FF">
              <w:rPr>
                <w:lang w:bidi="fr-FR"/>
              </w:rPr>
              <w:t xml:space="preserve">Insuffisance dans la compréhension </w:t>
            </w:r>
            <w:r w:rsidR="00DE3655">
              <w:rPr>
                <w:lang w:bidi="fr-FR"/>
              </w:rPr>
              <w:t xml:space="preserve">et l’intégration </w:t>
            </w:r>
            <w:r w:rsidRPr="006603FF">
              <w:rPr>
                <w:lang w:bidi="fr-FR"/>
              </w:rPr>
              <w:t xml:space="preserve">des droits humains et </w:t>
            </w:r>
            <w:r w:rsidR="00DE3655">
              <w:rPr>
                <w:lang w:bidi="fr-FR"/>
              </w:rPr>
              <w:t xml:space="preserve">du </w:t>
            </w:r>
            <w:r w:rsidRPr="006603FF">
              <w:rPr>
                <w:lang w:bidi="fr-FR"/>
              </w:rPr>
              <w:t xml:space="preserve">genre </w:t>
            </w:r>
            <w:r w:rsidR="00DE3655">
              <w:rPr>
                <w:lang w:bidi="fr-FR"/>
              </w:rPr>
              <w:t>par les prestataires de services de santé, qui grève</w:t>
            </w:r>
            <w:r w:rsidR="00DE3655" w:rsidRPr="006603FF">
              <w:rPr>
                <w:lang w:bidi="fr-FR"/>
              </w:rPr>
              <w:t xml:space="preserve"> </w:t>
            </w:r>
            <w:r w:rsidRPr="006603FF">
              <w:rPr>
                <w:lang w:bidi="fr-FR"/>
              </w:rPr>
              <w:t>l’équité dans l</w:t>
            </w:r>
            <w:r w:rsidR="00DE3655">
              <w:rPr>
                <w:lang w:bidi="fr-FR"/>
              </w:rPr>
              <w:t xml:space="preserve">’offre </w:t>
            </w:r>
            <w:r w:rsidRPr="006603FF">
              <w:rPr>
                <w:lang w:bidi="fr-FR"/>
              </w:rPr>
              <w:t xml:space="preserve">aux </w:t>
            </w:r>
            <w:r w:rsidR="00DE3655">
              <w:rPr>
                <w:lang w:bidi="fr-FR"/>
              </w:rPr>
              <w:t>bénéficiaires.</w:t>
            </w:r>
          </w:p>
          <w:p w14:paraId="09FC0304" w14:textId="77777777" w:rsidR="006603FF" w:rsidRPr="006603FF" w:rsidRDefault="006603FF" w:rsidP="006603FF">
            <w:pPr>
              <w:spacing w:after="0"/>
              <w:rPr>
                <w:b/>
                <w:lang w:bidi="fr-FR"/>
              </w:rPr>
            </w:pPr>
          </w:p>
          <w:p w14:paraId="240C75C4" w14:textId="77777777" w:rsidR="006603FF" w:rsidRPr="006603FF" w:rsidRDefault="006603FF" w:rsidP="006603FF">
            <w:pPr>
              <w:spacing w:after="0"/>
              <w:rPr>
                <w:b/>
                <w:sz w:val="22"/>
                <w:szCs w:val="22"/>
                <w:lang w:bidi="fr-FR"/>
              </w:rPr>
            </w:pPr>
            <w:r w:rsidRPr="006603FF">
              <w:rPr>
                <w:b/>
                <w:sz w:val="22"/>
                <w:szCs w:val="22"/>
                <w:lang w:bidi="fr-FR"/>
              </w:rPr>
              <w:t>Pistes de résolution</w:t>
            </w:r>
          </w:p>
          <w:p w14:paraId="660013CD" w14:textId="1F16612E" w:rsidR="006556BC" w:rsidRDefault="006603FF" w:rsidP="00750CA9">
            <w:pPr>
              <w:pStyle w:val="liste1"/>
            </w:pPr>
            <w:r w:rsidRPr="00750CA9">
              <w:t xml:space="preserve">Le gouvernement à travers le </w:t>
            </w:r>
            <w:r w:rsidR="00206BA8">
              <w:t>MSHP</w:t>
            </w:r>
            <w:r w:rsidRPr="00750CA9">
              <w:t xml:space="preserve"> s’engage progressivement à prendre à son actif des activités clé issues du </w:t>
            </w:r>
            <w:r w:rsidR="00E96F4C" w:rsidRPr="00750CA9">
              <w:t xml:space="preserve">PSN </w:t>
            </w:r>
            <w:r w:rsidRPr="00750CA9">
              <w:t>au fil des temps à travers la volonté de payer. Ce processus va se poursuivre</w:t>
            </w:r>
            <w:r w:rsidR="00206BA8">
              <w:t>.</w:t>
            </w:r>
          </w:p>
          <w:p w14:paraId="0D0E945B" w14:textId="2DFA72CA" w:rsidR="006603FF" w:rsidRPr="00750CA9" w:rsidRDefault="006603FF" w:rsidP="00750CA9">
            <w:pPr>
              <w:pStyle w:val="liste1"/>
            </w:pPr>
            <w:r w:rsidRPr="00750CA9">
              <w:t>Par ailleurs la mise en place du budget programme institué par le pays va contribuer à optimiser l’impact des ressources allouées</w:t>
            </w:r>
          </w:p>
          <w:p w14:paraId="3BF71E31" w14:textId="7C128D1D" w:rsidR="00E96F4C" w:rsidRPr="00750CA9" w:rsidRDefault="00E96F4C" w:rsidP="00750CA9">
            <w:pPr>
              <w:pStyle w:val="liste1"/>
            </w:pPr>
            <w:r w:rsidRPr="00750CA9">
              <w:t>Le Développement de la Couverture Médicale Universelle devrait par ailleurs permettre d’intégrer à terme les dépenses de santé liées au VIH dans un mécanisme pérenne de financement de la santé</w:t>
            </w:r>
          </w:p>
          <w:p w14:paraId="035E2AB9" w14:textId="6EBC9AA7" w:rsidR="006603FF" w:rsidRPr="00750CA9" w:rsidRDefault="006603FF" w:rsidP="00750CA9">
            <w:pPr>
              <w:pStyle w:val="liste1"/>
            </w:pPr>
            <w:r w:rsidRPr="00750CA9">
              <w:t>La formation des acteurs sur les notions de droits humains et genres ainsi que sur les populations clé donne un point de départ pour ces derniers à développer des actions sur ces thématiques dans tous les projets de santé. L’appropriation de ces notions par les prestataires garantira la prise en compte de ces notions dans les rapports humains</w:t>
            </w:r>
          </w:p>
          <w:p w14:paraId="2C84D88B" w14:textId="5485E217" w:rsidR="00E96F4C" w:rsidRPr="00750CA9" w:rsidRDefault="006603FF" w:rsidP="00750CA9">
            <w:pPr>
              <w:pStyle w:val="liste1"/>
            </w:pPr>
            <w:r w:rsidRPr="00750CA9">
              <w:t xml:space="preserve">L’intervention communautaire prise comme stratégie nationale </w:t>
            </w:r>
            <w:r w:rsidR="00E96F4C" w:rsidRPr="00750CA9">
              <w:t>transversal,</w:t>
            </w:r>
            <w:r w:rsidRPr="00750CA9">
              <w:t xml:space="preserve"> avec le recrutement des Agents de Santé communautaires au niveau local issus de leur propre communauté</w:t>
            </w:r>
            <w:r w:rsidR="00E96F4C" w:rsidRPr="00750CA9">
              <w:t>,</w:t>
            </w:r>
            <w:r w:rsidRPr="00750CA9">
              <w:t xml:space="preserve"> garanti</w:t>
            </w:r>
            <w:r w:rsidR="00E96F4C" w:rsidRPr="00750CA9">
              <w:t>t</w:t>
            </w:r>
            <w:r w:rsidRPr="00750CA9">
              <w:t xml:space="preserve"> une base solide des interventions sanitaires </w:t>
            </w:r>
            <w:r w:rsidR="00E96F4C" w:rsidRPr="00750CA9">
              <w:t>à base communautaire</w:t>
            </w:r>
          </w:p>
          <w:p w14:paraId="4E99AF82" w14:textId="2F3F7C13" w:rsidR="006603FF" w:rsidRPr="00750CA9" w:rsidRDefault="006603FF" w:rsidP="00750CA9">
            <w:pPr>
              <w:pStyle w:val="liste1"/>
            </w:pPr>
            <w:r w:rsidRPr="00750CA9">
              <w:t xml:space="preserve">L’expérience </w:t>
            </w:r>
            <w:r w:rsidR="0079089F" w:rsidRPr="00750CA9">
              <w:t>de la centrale d’achat en matière de</w:t>
            </w:r>
            <w:r w:rsidRPr="00750CA9">
              <w:t xml:space="preserve"> processus d’acquisition des produits</w:t>
            </w:r>
            <w:r w:rsidR="0079089F" w:rsidRPr="00750CA9">
              <w:t xml:space="preserve"> de santé, de</w:t>
            </w:r>
            <w:r w:rsidRPr="00750CA9">
              <w:t xml:space="preserve"> même que </w:t>
            </w:r>
            <w:r w:rsidR="0079089F" w:rsidRPr="00750CA9">
              <w:t xml:space="preserve">pour </w:t>
            </w:r>
            <w:r w:rsidRPr="00750CA9">
              <w:t>l</w:t>
            </w:r>
            <w:r w:rsidR="0079089F" w:rsidRPr="00750CA9">
              <w:t>eur</w:t>
            </w:r>
            <w:r w:rsidRPr="00750CA9">
              <w:t xml:space="preserve"> distribution</w:t>
            </w:r>
            <w:r w:rsidR="0079089F" w:rsidRPr="00750CA9">
              <w:t>, à travers</w:t>
            </w:r>
            <w:r w:rsidRPr="00750CA9">
              <w:t xml:space="preserve"> plusieurs programmes </w:t>
            </w:r>
            <w:r w:rsidR="0079089F" w:rsidRPr="00750CA9">
              <w:t>et dans</w:t>
            </w:r>
            <w:r w:rsidRPr="00750CA9">
              <w:t xml:space="preserve"> tout le pays</w:t>
            </w:r>
            <w:r w:rsidR="0079089F" w:rsidRPr="00750CA9">
              <w:t>,</w:t>
            </w:r>
            <w:r w:rsidRPr="00750CA9">
              <w:t xml:space="preserve"> permet de garantir </w:t>
            </w:r>
            <w:r w:rsidR="0079089F" w:rsidRPr="00750CA9">
              <w:t xml:space="preserve">à terme </w:t>
            </w:r>
            <w:r w:rsidRPr="00750CA9">
              <w:t>un bon rapport coût/efficacité</w:t>
            </w:r>
            <w:r w:rsidR="0079089F" w:rsidRPr="00750CA9">
              <w:t xml:space="preserve"> dans la gestion des produits de santé</w:t>
            </w:r>
          </w:p>
          <w:p w14:paraId="705A0150" w14:textId="038E3B0F" w:rsidR="006556BC" w:rsidRDefault="006603FF" w:rsidP="00750CA9">
            <w:pPr>
              <w:pStyle w:val="liste1"/>
            </w:pPr>
            <w:r w:rsidRPr="00750CA9">
              <w:t xml:space="preserve">L’utilisation du DHIS2 comme outil national de gestion des données et </w:t>
            </w:r>
            <w:r w:rsidR="00DE3655">
              <w:t>du</w:t>
            </w:r>
            <w:r w:rsidRPr="00750CA9">
              <w:t xml:space="preserve"> e-SIGL comme outil de commande et de rapportage des produits de santé garanti une </w:t>
            </w:r>
            <w:r w:rsidR="00DE3655">
              <w:t xml:space="preserve">meilleure </w:t>
            </w:r>
            <w:r w:rsidRPr="00750CA9">
              <w:t xml:space="preserve">maitrise de ces circuits, un </w:t>
            </w:r>
            <w:r w:rsidR="00DE3655">
              <w:t xml:space="preserve">meilleur </w:t>
            </w:r>
            <w:r w:rsidRPr="00750CA9">
              <w:t>rapport coût</w:t>
            </w:r>
            <w:r w:rsidR="00DE3655">
              <w:t>-</w:t>
            </w:r>
            <w:r w:rsidRPr="00750CA9">
              <w:t>efficacité et une pérennité dans la gestion des données au niveau national</w:t>
            </w:r>
          </w:p>
          <w:p w14:paraId="1B58B12F" w14:textId="21D4F7D9" w:rsidR="00EA6611" w:rsidRPr="00750CA9" w:rsidRDefault="006603FF" w:rsidP="00750CA9">
            <w:pPr>
              <w:pStyle w:val="liste1"/>
            </w:pPr>
            <w:r w:rsidRPr="00750CA9">
              <w:t xml:space="preserve">Le programme National de Lutte contre </w:t>
            </w:r>
            <w:r w:rsidR="006556BC">
              <w:t>le Sida</w:t>
            </w:r>
            <w:r w:rsidRPr="00750CA9">
              <w:t xml:space="preserve"> s’inscrit </w:t>
            </w:r>
            <w:r w:rsidR="006556BC">
              <w:t xml:space="preserve">pleinement </w:t>
            </w:r>
            <w:r w:rsidRPr="00750CA9">
              <w:t xml:space="preserve">dans </w:t>
            </w:r>
            <w:r w:rsidR="006556BC">
              <w:t>cette approche</w:t>
            </w:r>
          </w:p>
        </w:tc>
      </w:tr>
    </w:tbl>
    <w:p w14:paraId="52F9156B" w14:textId="77777777" w:rsidR="00EA6611" w:rsidRDefault="00EA6611" w:rsidP="009B6C0D">
      <w:pPr>
        <w:pStyle w:val="ListParagraph"/>
        <w:spacing w:after="0" w:line="260" w:lineRule="atLeast"/>
        <w:ind w:left="360"/>
      </w:pPr>
    </w:p>
    <w:bookmarkEnd w:id="30"/>
    <w:p w14:paraId="0F36C6C4" w14:textId="77777777" w:rsidR="00A57DEB" w:rsidRDefault="00A57DEB" w:rsidP="009B6C0D">
      <w:pPr>
        <w:spacing w:after="0" w:line="0" w:lineRule="auto"/>
        <w:rPr>
          <w:rFonts w:eastAsiaTheme="majorEastAsia" w:cs="Arial"/>
          <w:b/>
          <w:bCs/>
          <w:noProof/>
          <w:sz w:val="30"/>
          <w:szCs w:val="30"/>
          <w:lang w:val="fr-CH"/>
        </w:rPr>
      </w:pPr>
      <w:r>
        <w:br w:type="page"/>
      </w:r>
    </w:p>
    <w:p w14:paraId="62E704B2" w14:textId="52688803" w:rsidR="0098274C" w:rsidRPr="005B20FC" w:rsidRDefault="0098274C" w:rsidP="00390EA4">
      <w:pPr>
        <w:pStyle w:val="Heading1"/>
        <w:spacing w:before="0"/>
        <w:ind w:left="567" w:hanging="567"/>
        <w:rPr>
          <w:lang w:val="fr-CH"/>
        </w:rPr>
      </w:pPr>
      <w:r w:rsidRPr="005B20FC">
        <w:lastRenderedPageBreak/>
        <w:t>Annexe 1 : Liste de vérification des documents</w:t>
      </w:r>
    </w:p>
    <w:p w14:paraId="53AC19D2" w14:textId="77777777" w:rsidR="0098274C" w:rsidRPr="005305D5" w:rsidRDefault="0098274C" w:rsidP="009B6C0D">
      <w:pPr>
        <w:pStyle w:val="ListParagraph"/>
        <w:spacing w:after="0"/>
        <w:rPr>
          <w:lang w:val="fr-CH"/>
        </w:rPr>
      </w:pPr>
    </w:p>
    <w:p w14:paraId="4E447368" w14:textId="36D0B1E4" w:rsidR="00025B85" w:rsidRPr="00750CA9" w:rsidRDefault="00531873" w:rsidP="009B6C0D">
      <w:pPr>
        <w:spacing w:after="0"/>
        <w:rPr>
          <w:rFonts w:ascii="Arial" w:hAnsi="Arial"/>
          <w:sz w:val="22"/>
        </w:rPr>
      </w:pPr>
      <w:r>
        <w:t>Vérifier que le dossier de candidature est complet à l’aide de la liste ci-dessous :</w:t>
      </w:r>
    </w:p>
    <w:p w14:paraId="7F4539E9" w14:textId="77777777" w:rsidR="00D06C7F" w:rsidRPr="00D236CA" w:rsidRDefault="00D06C7F" w:rsidP="009B6C0D">
      <w:pPr>
        <w:spacing w:after="0"/>
      </w:pPr>
    </w:p>
    <w:tbl>
      <w:tblPr>
        <w:tblStyle w:val="TableGrid20"/>
        <w:tblW w:w="9209" w:type="dxa"/>
        <w:tblInd w:w="6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8642"/>
      </w:tblGrid>
      <w:tr w:rsidR="00226B41" w:rsidRPr="00E2627C" w14:paraId="13D7A687" w14:textId="77777777" w:rsidTr="00226B41">
        <w:trPr>
          <w:trHeight w:val="567"/>
        </w:trPr>
        <w:tc>
          <w:tcPr>
            <w:tcW w:w="567" w:type="dxa"/>
            <w:shd w:val="clear" w:color="auto" w:fill="auto"/>
            <w:vAlign w:val="center"/>
          </w:tcPr>
          <w:bookmarkStart w:id="32" w:name="_Hlk15285391"/>
          <w:p w14:paraId="38BED4E4" w14:textId="545314DA" w:rsidR="00226B41"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cstheme="majorHAnsi"/>
                  <w:b/>
                </w:rPr>
                <w:id w:val="-180662496"/>
                <w14:checkbox>
                  <w14:checked w14:val="1"/>
                  <w14:checkedState w14:val="2612" w14:font="MS Gothic"/>
                  <w14:uncheckedState w14:val="2610" w14:font="MS Gothic"/>
                </w14:checkbox>
              </w:sdtPr>
              <w:sdtEndPr/>
              <w:sdtContent>
                <w:r w:rsidR="00D00961">
                  <w:rPr>
                    <w:rFonts w:ascii="MS Gothic" w:eastAsia="MS Gothic" w:hAnsi="MS Gothic" w:cstheme="majorHAnsi" w:hint="eastAsia"/>
                    <w:b/>
                  </w:rPr>
                  <w:t>☒</w:t>
                </w:r>
              </w:sdtContent>
            </w:sdt>
          </w:p>
        </w:tc>
        <w:tc>
          <w:tcPr>
            <w:tcW w:w="8642" w:type="dxa"/>
            <w:vAlign w:val="center"/>
          </w:tcPr>
          <w:p w14:paraId="0BFA13D6" w14:textId="77777777" w:rsidR="00226B41" w:rsidRPr="00390EA4" w:rsidRDefault="00226B41" w:rsidP="00A64686">
            <w:pPr>
              <w:spacing w:after="0"/>
              <w:ind w:left="239" w:hanging="90"/>
              <w:rPr>
                <w:rFonts w:asciiTheme="majorHAnsi" w:hAnsiTheme="majorHAnsi"/>
                <w:sz w:val="22"/>
              </w:rPr>
            </w:pPr>
            <w:r w:rsidRPr="00390EA4">
              <w:rPr>
                <w:rFonts w:asciiTheme="majorHAnsi" w:hAnsiTheme="majorHAnsi"/>
                <w:sz w:val="22"/>
              </w:rPr>
              <w:t>Formulaire de demande de financement</w:t>
            </w:r>
          </w:p>
        </w:tc>
      </w:tr>
      <w:tr w:rsidR="00226B41" w:rsidRPr="00E2627C" w14:paraId="4F6F8948" w14:textId="77777777" w:rsidTr="00226B41">
        <w:trPr>
          <w:trHeight w:val="567"/>
        </w:trPr>
        <w:tc>
          <w:tcPr>
            <w:tcW w:w="567" w:type="dxa"/>
            <w:shd w:val="clear" w:color="auto" w:fill="auto"/>
            <w:vAlign w:val="center"/>
          </w:tcPr>
          <w:p w14:paraId="531C3BD8" w14:textId="2A60BE9E" w:rsidR="00226B41"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cstheme="majorHAnsi"/>
                  <w:b/>
                </w:rPr>
                <w:id w:val="-797372883"/>
                <w14:checkbox>
                  <w14:checked w14:val="1"/>
                  <w14:checkedState w14:val="2612" w14:font="MS Gothic"/>
                  <w14:uncheckedState w14:val="2610" w14:font="MS Gothic"/>
                </w14:checkbox>
              </w:sdtPr>
              <w:sdtEndPr/>
              <w:sdtContent>
                <w:r w:rsidR="00D00961">
                  <w:rPr>
                    <w:rFonts w:ascii="MS Gothic" w:eastAsia="MS Gothic" w:hAnsi="MS Gothic" w:cstheme="majorHAnsi" w:hint="eastAsia"/>
                    <w:b/>
                  </w:rPr>
                  <w:t>☒</w:t>
                </w:r>
              </w:sdtContent>
            </w:sdt>
          </w:p>
        </w:tc>
        <w:tc>
          <w:tcPr>
            <w:tcW w:w="8642" w:type="dxa"/>
            <w:vAlign w:val="center"/>
          </w:tcPr>
          <w:p w14:paraId="7D30AD26" w14:textId="77777777" w:rsidR="00226B41" w:rsidRPr="00390EA4" w:rsidRDefault="00226B41" w:rsidP="00A64686">
            <w:pPr>
              <w:spacing w:after="0"/>
              <w:ind w:left="239" w:hanging="90"/>
              <w:rPr>
                <w:rFonts w:asciiTheme="majorHAnsi" w:hAnsiTheme="majorHAnsi"/>
                <w:sz w:val="22"/>
              </w:rPr>
            </w:pPr>
            <w:r w:rsidRPr="00390EA4">
              <w:rPr>
                <w:rFonts w:asciiTheme="majorHAnsi" w:hAnsiTheme="majorHAnsi"/>
                <w:sz w:val="22"/>
              </w:rPr>
              <w:t xml:space="preserve">Tableau(x) de lacunes programmatiques </w:t>
            </w:r>
          </w:p>
        </w:tc>
      </w:tr>
      <w:tr w:rsidR="00226B41" w:rsidRPr="00E2627C" w14:paraId="66BF4DF9" w14:textId="77777777" w:rsidTr="00226B41">
        <w:trPr>
          <w:trHeight w:val="567"/>
        </w:trPr>
        <w:tc>
          <w:tcPr>
            <w:tcW w:w="567" w:type="dxa"/>
            <w:shd w:val="clear" w:color="auto" w:fill="auto"/>
            <w:vAlign w:val="center"/>
          </w:tcPr>
          <w:p w14:paraId="04F28060" w14:textId="355CDB9B" w:rsidR="00226B41"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cstheme="majorHAnsi"/>
                  <w:b/>
                </w:rPr>
                <w:id w:val="1788846860"/>
                <w14:checkbox>
                  <w14:checked w14:val="1"/>
                  <w14:checkedState w14:val="2612" w14:font="MS Gothic"/>
                  <w14:uncheckedState w14:val="2610" w14:font="MS Gothic"/>
                </w14:checkbox>
              </w:sdtPr>
              <w:sdtEndPr/>
              <w:sdtContent>
                <w:r w:rsidR="00D00961">
                  <w:rPr>
                    <w:rFonts w:ascii="MS Gothic" w:eastAsia="MS Gothic" w:hAnsi="MS Gothic" w:cstheme="majorHAnsi" w:hint="eastAsia"/>
                    <w:b/>
                  </w:rPr>
                  <w:t>☒</w:t>
                </w:r>
              </w:sdtContent>
            </w:sdt>
          </w:p>
        </w:tc>
        <w:tc>
          <w:tcPr>
            <w:tcW w:w="8642" w:type="dxa"/>
            <w:vAlign w:val="center"/>
          </w:tcPr>
          <w:p w14:paraId="6633A7F5" w14:textId="77777777" w:rsidR="00226B41" w:rsidRPr="00390EA4" w:rsidRDefault="00226B41" w:rsidP="00A64686">
            <w:pPr>
              <w:spacing w:after="0"/>
              <w:ind w:left="239" w:hanging="90"/>
              <w:rPr>
                <w:rFonts w:asciiTheme="majorHAnsi" w:hAnsiTheme="majorHAnsi"/>
                <w:sz w:val="22"/>
              </w:rPr>
            </w:pPr>
            <w:r w:rsidRPr="00390EA4">
              <w:rPr>
                <w:rFonts w:asciiTheme="majorHAnsi" w:hAnsiTheme="majorHAnsi"/>
                <w:sz w:val="22"/>
              </w:rPr>
              <w:t xml:space="preserve">Tableau(x) du paysage de financement </w:t>
            </w:r>
          </w:p>
        </w:tc>
      </w:tr>
      <w:tr w:rsidR="00226B41" w:rsidRPr="00226B41" w14:paraId="4FD5F7E3" w14:textId="77777777" w:rsidTr="00226B41">
        <w:trPr>
          <w:trHeight w:val="567"/>
        </w:trPr>
        <w:tc>
          <w:tcPr>
            <w:tcW w:w="567" w:type="dxa"/>
            <w:shd w:val="clear" w:color="auto" w:fill="auto"/>
            <w:vAlign w:val="center"/>
          </w:tcPr>
          <w:p w14:paraId="541F3FD8" w14:textId="544BC05E" w:rsidR="00226B41"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cstheme="majorHAnsi"/>
                  <w:b/>
                </w:rPr>
                <w:id w:val="189352396"/>
                <w14:checkbox>
                  <w14:checked w14:val="1"/>
                  <w14:checkedState w14:val="2612" w14:font="MS Gothic"/>
                  <w14:uncheckedState w14:val="2610" w14:font="MS Gothic"/>
                </w14:checkbox>
              </w:sdtPr>
              <w:sdtEndPr/>
              <w:sdtContent>
                <w:r w:rsidR="00D00961">
                  <w:rPr>
                    <w:rFonts w:ascii="MS Gothic" w:eastAsia="MS Gothic" w:hAnsi="MS Gothic" w:cstheme="majorHAnsi" w:hint="eastAsia"/>
                    <w:b/>
                  </w:rPr>
                  <w:t>☒</w:t>
                </w:r>
              </w:sdtContent>
            </w:sdt>
          </w:p>
        </w:tc>
        <w:tc>
          <w:tcPr>
            <w:tcW w:w="8642" w:type="dxa"/>
            <w:vAlign w:val="center"/>
          </w:tcPr>
          <w:p w14:paraId="4DE11B02" w14:textId="77777777" w:rsidR="00226B41" w:rsidRPr="00226B41" w:rsidRDefault="00226B41" w:rsidP="00A64686">
            <w:pPr>
              <w:spacing w:after="0"/>
              <w:ind w:left="239" w:hanging="90"/>
              <w:rPr>
                <w:rFonts w:asciiTheme="majorHAnsi" w:hAnsiTheme="majorHAnsi" w:cstheme="majorHAnsi"/>
                <w:bCs/>
                <w:sz w:val="22"/>
                <w:szCs w:val="22"/>
              </w:rPr>
            </w:pPr>
            <w:r w:rsidRPr="00390EA4">
              <w:rPr>
                <w:rFonts w:asciiTheme="majorHAnsi" w:hAnsiTheme="majorHAnsi"/>
                <w:sz w:val="22"/>
              </w:rPr>
              <w:t>Cadre de résultats</w:t>
            </w:r>
          </w:p>
        </w:tc>
      </w:tr>
      <w:tr w:rsidR="00226B41" w:rsidRPr="00226B41" w14:paraId="25F505B8" w14:textId="77777777" w:rsidTr="00226B41">
        <w:trPr>
          <w:trHeight w:val="567"/>
        </w:trPr>
        <w:tc>
          <w:tcPr>
            <w:tcW w:w="567" w:type="dxa"/>
            <w:shd w:val="clear" w:color="auto" w:fill="auto"/>
            <w:vAlign w:val="center"/>
          </w:tcPr>
          <w:p w14:paraId="5E93A956" w14:textId="50CBE1C7" w:rsidR="00226B41"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cstheme="majorHAnsi"/>
                  <w:b/>
                </w:rPr>
                <w:id w:val="595447511"/>
                <w14:checkbox>
                  <w14:checked w14:val="1"/>
                  <w14:checkedState w14:val="2612" w14:font="MS Gothic"/>
                  <w14:uncheckedState w14:val="2610" w14:font="MS Gothic"/>
                </w14:checkbox>
              </w:sdtPr>
              <w:sdtEndPr/>
              <w:sdtContent>
                <w:r w:rsidR="00D00961">
                  <w:rPr>
                    <w:rFonts w:ascii="MS Gothic" w:eastAsia="MS Gothic" w:hAnsi="MS Gothic" w:cstheme="majorHAnsi" w:hint="eastAsia"/>
                    <w:b/>
                  </w:rPr>
                  <w:t>☒</w:t>
                </w:r>
              </w:sdtContent>
            </w:sdt>
          </w:p>
        </w:tc>
        <w:tc>
          <w:tcPr>
            <w:tcW w:w="8642" w:type="dxa"/>
            <w:vAlign w:val="center"/>
          </w:tcPr>
          <w:p w14:paraId="61D43B55" w14:textId="77777777" w:rsidR="00226B41" w:rsidRPr="00226B41" w:rsidRDefault="00226B41" w:rsidP="00A64686">
            <w:pPr>
              <w:spacing w:after="0"/>
              <w:ind w:left="239" w:hanging="90"/>
              <w:rPr>
                <w:rFonts w:asciiTheme="majorHAnsi" w:hAnsiTheme="majorHAnsi" w:cstheme="majorHAnsi"/>
                <w:bCs/>
                <w:sz w:val="22"/>
                <w:szCs w:val="22"/>
              </w:rPr>
            </w:pPr>
            <w:r w:rsidRPr="00390EA4">
              <w:rPr>
                <w:rFonts w:asciiTheme="majorHAnsi" w:hAnsiTheme="majorHAnsi"/>
                <w:sz w:val="22"/>
              </w:rPr>
              <w:t>Budget</w:t>
            </w:r>
          </w:p>
        </w:tc>
      </w:tr>
      <w:tr w:rsidR="00226B41" w:rsidRPr="00E2627C" w14:paraId="57161831" w14:textId="77777777" w:rsidTr="00226B41">
        <w:trPr>
          <w:trHeight w:val="567"/>
        </w:trPr>
        <w:tc>
          <w:tcPr>
            <w:tcW w:w="567" w:type="dxa"/>
            <w:shd w:val="clear" w:color="auto" w:fill="auto"/>
            <w:vAlign w:val="center"/>
          </w:tcPr>
          <w:p w14:paraId="43E93584" w14:textId="2556377D" w:rsidR="00226B41"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cstheme="majorHAnsi"/>
                  <w:b/>
                </w:rPr>
                <w:id w:val="-2051445561"/>
                <w14:checkbox>
                  <w14:checked w14:val="1"/>
                  <w14:checkedState w14:val="2612" w14:font="MS Gothic"/>
                  <w14:uncheckedState w14:val="2610" w14:font="MS Gothic"/>
                </w14:checkbox>
              </w:sdtPr>
              <w:sdtEndPr/>
              <w:sdtContent>
                <w:r w:rsidR="00D00961">
                  <w:rPr>
                    <w:rFonts w:ascii="MS Gothic" w:eastAsia="MS Gothic" w:hAnsi="MS Gothic" w:cstheme="majorHAnsi" w:hint="eastAsia"/>
                    <w:b/>
                  </w:rPr>
                  <w:t>☒</w:t>
                </w:r>
              </w:sdtContent>
            </w:sdt>
          </w:p>
        </w:tc>
        <w:tc>
          <w:tcPr>
            <w:tcW w:w="8642" w:type="dxa"/>
            <w:vAlign w:val="center"/>
          </w:tcPr>
          <w:p w14:paraId="64B6E257" w14:textId="77777777" w:rsidR="00226B41" w:rsidRPr="00390EA4" w:rsidRDefault="00226B41" w:rsidP="00A64686">
            <w:pPr>
              <w:spacing w:after="0"/>
              <w:ind w:left="239" w:hanging="90"/>
              <w:rPr>
                <w:rFonts w:asciiTheme="majorHAnsi" w:hAnsiTheme="majorHAnsi"/>
                <w:sz w:val="22"/>
              </w:rPr>
            </w:pPr>
            <w:r w:rsidRPr="00390EA4">
              <w:rPr>
                <w:rFonts w:asciiTheme="majorHAnsi" w:hAnsiTheme="majorHAnsi"/>
                <w:sz w:val="22"/>
              </w:rPr>
              <w:t>Demande hiérarchisée de financement au-delà de la somme allouée</w:t>
            </w:r>
          </w:p>
        </w:tc>
      </w:tr>
      <w:tr w:rsidR="000D447C" w:rsidRPr="00E2627C" w14:paraId="0DFE1738" w14:textId="77777777" w:rsidTr="00226B41">
        <w:trPr>
          <w:trHeight w:val="567"/>
        </w:trPr>
        <w:tc>
          <w:tcPr>
            <w:tcW w:w="567" w:type="dxa"/>
            <w:shd w:val="clear" w:color="auto" w:fill="auto"/>
            <w:vAlign w:val="center"/>
          </w:tcPr>
          <w:p w14:paraId="05AB01EC" w14:textId="22BDDE2B" w:rsidR="000D447C"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cstheme="majorHAnsi"/>
                  <w:b/>
                </w:rPr>
                <w:id w:val="1479722300"/>
                <w14:checkbox>
                  <w14:checked w14:val="1"/>
                  <w14:checkedState w14:val="2612" w14:font="MS Gothic"/>
                  <w14:uncheckedState w14:val="2610" w14:font="MS Gothic"/>
                </w14:checkbox>
              </w:sdtPr>
              <w:sdtEndPr/>
              <w:sdtContent>
                <w:r w:rsidR="00D00961">
                  <w:rPr>
                    <w:rFonts w:ascii="MS Gothic" w:eastAsia="MS Gothic" w:hAnsi="MS Gothic" w:cstheme="majorHAnsi" w:hint="eastAsia"/>
                    <w:b/>
                  </w:rPr>
                  <w:t>☒</w:t>
                </w:r>
              </w:sdtContent>
            </w:sdt>
          </w:p>
        </w:tc>
        <w:tc>
          <w:tcPr>
            <w:tcW w:w="8642" w:type="dxa"/>
            <w:vAlign w:val="center"/>
          </w:tcPr>
          <w:p w14:paraId="0C75605A" w14:textId="7DDAF982" w:rsidR="000D447C" w:rsidRPr="00390EA4" w:rsidRDefault="000D447C" w:rsidP="00A64686">
            <w:pPr>
              <w:spacing w:after="0"/>
              <w:ind w:left="239" w:hanging="90"/>
              <w:rPr>
                <w:rFonts w:asciiTheme="majorHAnsi" w:hAnsiTheme="majorHAnsi"/>
                <w:sz w:val="22"/>
              </w:rPr>
            </w:pPr>
            <w:r w:rsidRPr="00390EA4">
              <w:rPr>
                <w:rFonts w:asciiTheme="majorHAnsi" w:hAnsiTheme="majorHAnsi"/>
                <w:sz w:val="22"/>
              </w:rPr>
              <w:t>Cartographie des modalités de mise en œuvre</w:t>
            </w:r>
            <w:r w:rsidRPr="00226B41">
              <w:rPr>
                <w:rStyle w:val="FootnoteReference"/>
                <w:rFonts w:asciiTheme="majorHAnsi" w:hAnsiTheme="majorHAnsi" w:cstheme="majorHAnsi"/>
                <w:sz w:val="22"/>
                <w:szCs w:val="22"/>
                <w:lang w:val="fr-FR" w:bidi="fr-FR"/>
              </w:rPr>
              <w:footnoteReference w:id="6"/>
            </w:r>
          </w:p>
        </w:tc>
      </w:tr>
      <w:tr w:rsidR="000D447C" w:rsidRPr="00E2627C" w14:paraId="330F5F85" w14:textId="77777777" w:rsidTr="00226B41">
        <w:trPr>
          <w:trHeight w:val="567"/>
        </w:trPr>
        <w:tc>
          <w:tcPr>
            <w:tcW w:w="567" w:type="dxa"/>
            <w:shd w:val="clear" w:color="auto" w:fill="auto"/>
            <w:vAlign w:val="center"/>
          </w:tcPr>
          <w:p w14:paraId="67CD6D7F" w14:textId="63D49231" w:rsidR="000D447C"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cstheme="majorHAnsi"/>
                  <w:b/>
                </w:rPr>
                <w:id w:val="-2140713719"/>
                <w14:checkbox>
                  <w14:checked w14:val="1"/>
                  <w14:checkedState w14:val="2612" w14:font="MS Gothic"/>
                  <w14:uncheckedState w14:val="2610" w14:font="MS Gothic"/>
                </w14:checkbox>
              </w:sdtPr>
              <w:sdtEndPr/>
              <w:sdtContent>
                <w:r w:rsidR="00D00961">
                  <w:rPr>
                    <w:rFonts w:ascii="MS Gothic" w:eastAsia="MS Gothic" w:hAnsi="MS Gothic" w:cstheme="majorHAnsi" w:hint="eastAsia"/>
                    <w:b/>
                  </w:rPr>
                  <w:t>☒</w:t>
                </w:r>
              </w:sdtContent>
            </w:sdt>
          </w:p>
        </w:tc>
        <w:tc>
          <w:tcPr>
            <w:tcW w:w="8642" w:type="dxa"/>
            <w:vAlign w:val="center"/>
          </w:tcPr>
          <w:p w14:paraId="4EEE9D24" w14:textId="66811D10" w:rsidR="000D447C" w:rsidRPr="00390EA4" w:rsidRDefault="000D447C" w:rsidP="00A64686">
            <w:pPr>
              <w:spacing w:after="0"/>
              <w:ind w:left="239" w:hanging="90"/>
              <w:rPr>
                <w:rFonts w:asciiTheme="majorHAnsi" w:hAnsiTheme="majorHAnsi"/>
                <w:sz w:val="22"/>
              </w:rPr>
            </w:pPr>
            <w:r w:rsidRPr="00390EA4">
              <w:rPr>
                <w:rFonts w:asciiTheme="majorHAnsi" w:hAnsiTheme="majorHAnsi"/>
                <w:sz w:val="22"/>
              </w:rPr>
              <w:t>Tableau(x) des données essentielles (à jour)</w:t>
            </w:r>
          </w:p>
        </w:tc>
      </w:tr>
      <w:tr w:rsidR="000D447C" w:rsidRPr="00E2627C" w14:paraId="16D242CF" w14:textId="77777777" w:rsidTr="00226B41">
        <w:trPr>
          <w:trHeight w:val="567"/>
        </w:trPr>
        <w:tc>
          <w:tcPr>
            <w:tcW w:w="567" w:type="dxa"/>
            <w:shd w:val="clear" w:color="auto" w:fill="auto"/>
            <w:vAlign w:val="center"/>
          </w:tcPr>
          <w:p w14:paraId="6FE9CD24" w14:textId="137BF51A" w:rsidR="000D447C" w:rsidRDefault="002B2F80" w:rsidP="00FC6510">
            <w:pPr>
              <w:spacing w:after="0"/>
              <w:ind w:hanging="98"/>
              <w:jc w:val="center"/>
              <w:rPr>
                <w:rFonts w:asciiTheme="majorHAnsi" w:hAnsiTheme="majorHAnsi" w:cstheme="majorHAnsi"/>
                <w:b/>
              </w:rPr>
            </w:pPr>
            <w:sdt>
              <w:sdtPr>
                <w:rPr>
                  <w:rFonts w:asciiTheme="majorHAnsi" w:hAnsiTheme="majorHAnsi"/>
                  <w:b/>
                </w:rPr>
                <w:id w:val="-1115976256"/>
                <w14:checkbox>
                  <w14:checked w14:val="1"/>
                  <w14:checkedState w14:val="2612" w14:font="MS Gothic"/>
                  <w14:uncheckedState w14:val="2610" w14:font="MS Gothic"/>
                </w14:checkbox>
              </w:sdtPr>
              <w:sdtEndPr/>
              <w:sdtContent>
                <w:r w:rsidR="001342DF" w:rsidRPr="001342DF">
                  <w:rPr>
                    <w:rFonts w:ascii="MS Gothic" w:eastAsia="MS Gothic" w:hAnsi="MS Gothic" w:hint="eastAsia"/>
                    <w:b/>
                  </w:rPr>
                  <w:t>☒</w:t>
                </w:r>
              </w:sdtContent>
            </w:sdt>
          </w:p>
        </w:tc>
        <w:tc>
          <w:tcPr>
            <w:tcW w:w="8642" w:type="dxa"/>
            <w:vAlign w:val="center"/>
          </w:tcPr>
          <w:p w14:paraId="776FCB2C" w14:textId="23D022A8" w:rsidR="000D447C" w:rsidRPr="00D236CA" w:rsidRDefault="000D447C" w:rsidP="00A64686">
            <w:pPr>
              <w:spacing w:after="0"/>
              <w:ind w:left="239" w:hanging="90"/>
              <w:rPr>
                <w:rFonts w:asciiTheme="majorHAnsi" w:hAnsiTheme="majorHAnsi"/>
              </w:rPr>
            </w:pPr>
            <w:r w:rsidRPr="00390EA4">
              <w:rPr>
                <w:rFonts w:asciiTheme="majorHAnsi" w:hAnsiTheme="majorHAnsi"/>
                <w:sz w:val="22"/>
              </w:rPr>
              <w:t xml:space="preserve">Approbation de la demande de financement par l’ICN </w:t>
            </w:r>
          </w:p>
        </w:tc>
      </w:tr>
      <w:tr w:rsidR="000D447C" w:rsidRPr="00E2627C" w14:paraId="5603CF97" w14:textId="77777777" w:rsidTr="00226B41">
        <w:trPr>
          <w:trHeight w:val="567"/>
        </w:trPr>
        <w:tc>
          <w:tcPr>
            <w:tcW w:w="567" w:type="dxa"/>
            <w:shd w:val="clear" w:color="auto" w:fill="auto"/>
            <w:vAlign w:val="center"/>
          </w:tcPr>
          <w:p w14:paraId="4BF9E56F" w14:textId="01ED650F" w:rsidR="000D447C" w:rsidRDefault="002B2F80" w:rsidP="00FC6510">
            <w:pPr>
              <w:spacing w:after="0"/>
              <w:ind w:hanging="98"/>
              <w:jc w:val="center"/>
              <w:rPr>
                <w:rFonts w:asciiTheme="majorHAnsi" w:hAnsiTheme="majorHAnsi" w:cstheme="majorHAnsi"/>
                <w:b/>
              </w:rPr>
            </w:pPr>
            <w:sdt>
              <w:sdtPr>
                <w:rPr>
                  <w:rFonts w:asciiTheme="majorHAnsi" w:hAnsiTheme="majorHAnsi"/>
                </w:rPr>
                <w:id w:val="-1469969149"/>
                <w14:checkbox>
                  <w14:checked w14:val="1"/>
                  <w14:checkedState w14:val="2612" w14:font="MS Gothic"/>
                  <w14:uncheckedState w14:val="2610" w14:font="MS Gothic"/>
                </w14:checkbox>
              </w:sdtPr>
              <w:sdtEndPr/>
              <w:sdtContent>
                <w:r w:rsidR="001342DF" w:rsidRPr="001342DF">
                  <w:rPr>
                    <w:rFonts w:ascii="MS Gothic" w:eastAsia="MS Gothic" w:hAnsi="MS Gothic" w:hint="eastAsia"/>
                  </w:rPr>
                  <w:t>☒</w:t>
                </w:r>
              </w:sdtContent>
            </w:sdt>
          </w:p>
        </w:tc>
        <w:tc>
          <w:tcPr>
            <w:tcW w:w="8642" w:type="dxa"/>
            <w:vAlign w:val="center"/>
          </w:tcPr>
          <w:p w14:paraId="4CE3B0D6" w14:textId="400897F9" w:rsidR="000D447C" w:rsidRPr="00D236CA" w:rsidRDefault="000D447C" w:rsidP="00A64686">
            <w:pPr>
              <w:spacing w:after="0"/>
              <w:ind w:left="239" w:hanging="90"/>
              <w:rPr>
                <w:rFonts w:asciiTheme="majorHAnsi" w:hAnsiTheme="majorHAnsi"/>
              </w:rPr>
            </w:pPr>
            <w:r w:rsidRPr="00390EA4">
              <w:rPr>
                <w:rFonts w:asciiTheme="majorHAnsi" w:hAnsiTheme="majorHAnsi"/>
                <w:sz w:val="22"/>
              </w:rPr>
              <w:t>Déclaration de conformité de l’ICN</w:t>
            </w:r>
          </w:p>
        </w:tc>
      </w:tr>
      <w:tr w:rsidR="000D447C" w:rsidRPr="00E2627C" w14:paraId="1F40EB10" w14:textId="77777777" w:rsidTr="00226B41">
        <w:trPr>
          <w:trHeight w:val="567"/>
        </w:trPr>
        <w:tc>
          <w:tcPr>
            <w:tcW w:w="567" w:type="dxa"/>
            <w:shd w:val="clear" w:color="auto" w:fill="auto"/>
            <w:vAlign w:val="center"/>
          </w:tcPr>
          <w:p w14:paraId="6FD04B4D" w14:textId="46C50C33" w:rsidR="000D447C" w:rsidRPr="00226B41" w:rsidRDefault="002B2F80" w:rsidP="00FC6510">
            <w:pPr>
              <w:spacing w:after="0"/>
              <w:ind w:hanging="98"/>
              <w:jc w:val="center"/>
              <w:rPr>
                <w:rFonts w:asciiTheme="majorHAnsi" w:hAnsiTheme="majorHAnsi" w:cstheme="majorHAnsi"/>
                <w:b/>
                <w:sz w:val="22"/>
                <w:szCs w:val="22"/>
                <w:highlight w:val="yellow"/>
              </w:rPr>
            </w:pPr>
            <w:sdt>
              <w:sdtPr>
                <w:rPr>
                  <w:rFonts w:asciiTheme="majorHAnsi" w:hAnsiTheme="majorHAnsi"/>
                  <w:b/>
                </w:rPr>
                <w:id w:val="-220992833"/>
                <w14:checkbox>
                  <w14:checked w14:val="1"/>
                  <w14:checkedState w14:val="2612" w14:font="MS Gothic"/>
                  <w14:uncheckedState w14:val="2610" w14:font="MS Gothic"/>
                </w14:checkbox>
              </w:sdtPr>
              <w:sdtEndPr/>
              <w:sdtContent>
                <w:r w:rsidR="001342DF" w:rsidRPr="001342DF">
                  <w:rPr>
                    <w:rFonts w:ascii="MS Gothic" w:eastAsia="MS Gothic" w:hAnsi="MS Gothic" w:hint="eastAsia"/>
                    <w:b/>
                  </w:rPr>
                  <w:t>☒</w:t>
                </w:r>
              </w:sdtContent>
            </w:sdt>
          </w:p>
        </w:tc>
        <w:tc>
          <w:tcPr>
            <w:tcW w:w="8642" w:type="dxa"/>
            <w:vAlign w:val="center"/>
          </w:tcPr>
          <w:p w14:paraId="24E5CEF2" w14:textId="15E71556" w:rsidR="000D447C" w:rsidRPr="00390EA4" w:rsidRDefault="000D447C" w:rsidP="00A64686">
            <w:pPr>
              <w:spacing w:after="0"/>
              <w:ind w:left="239" w:hanging="90"/>
              <w:rPr>
                <w:rFonts w:asciiTheme="majorHAnsi" w:hAnsiTheme="majorHAnsi"/>
                <w:sz w:val="22"/>
                <w:highlight w:val="yellow"/>
              </w:rPr>
            </w:pPr>
            <w:r w:rsidRPr="00390EA4">
              <w:rPr>
                <w:rFonts w:asciiTheme="majorHAnsi" w:hAnsiTheme="majorHAnsi"/>
                <w:sz w:val="22"/>
              </w:rPr>
              <w:t xml:space="preserve">Pièces justificatives confirmant que les exigences de cofinancement ont été remplies pour la période d’allocation actuelle </w:t>
            </w:r>
          </w:p>
        </w:tc>
      </w:tr>
      <w:tr w:rsidR="000D447C" w:rsidRPr="00E2627C" w14:paraId="265F6EDA" w14:textId="77777777" w:rsidTr="00226B41">
        <w:trPr>
          <w:trHeight w:val="567"/>
        </w:trPr>
        <w:tc>
          <w:tcPr>
            <w:tcW w:w="567" w:type="dxa"/>
            <w:shd w:val="clear" w:color="auto" w:fill="auto"/>
            <w:vAlign w:val="center"/>
          </w:tcPr>
          <w:p w14:paraId="188693CA" w14:textId="790C923D" w:rsidR="000D447C" w:rsidRPr="00226B41" w:rsidRDefault="002B2F80" w:rsidP="00FC6510">
            <w:pPr>
              <w:spacing w:after="0"/>
              <w:ind w:hanging="98"/>
              <w:jc w:val="center"/>
              <w:rPr>
                <w:rFonts w:asciiTheme="majorHAnsi" w:hAnsiTheme="majorHAnsi" w:cstheme="majorHAnsi"/>
                <w:b/>
                <w:sz w:val="22"/>
                <w:szCs w:val="22"/>
                <w:highlight w:val="yellow"/>
              </w:rPr>
            </w:pPr>
            <w:sdt>
              <w:sdtPr>
                <w:rPr>
                  <w:rFonts w:asciiTheme="majorHAnsi" w:hAnsiTheme="majorHAnsi"/>
                  <w:b/>
                </w:rPr>
                <w:id w:val="-1023165458"/>
                <w14:checkbox>
                  <w14:checked w14:val="1"/>
                  <w14:checkedState w14:val="2612" w14:font="MS Gothic"/>
                  <w14:uncheckedState w14:val="2610" w14:font="MS Gothic"/>
                </w14:checkbox>
              </w:sdtPr>
              <w:sdtEndPr/>
              <w:sdtContent>
                <w:r w:rsidR="001342DF" w:rsidRPr="001342DF">
                  <w:rPr>
                    <w:rFonts w:ascii="MS Gothic" w:eastAsia="MS Gothic" w:hAnsi="MS Gothic" w:hint="eastAsia"/>
                    <w:b/>
                  </w:rPr>
                  <w:t>☒</w:t>
                </w:r>
              </w:sdtContent>
            </w:sdt>
          </w:p>
        </w:tc>
        <w:tc>
          <w:tcPr>
            <w:tcW w:w="8642" w:type="dxa"/>
            <w:vAlign w:val="center"/>
          </w:tcPr>
          <w:p w14:paraId="7DE07117" w14:textId="5D2A34DF" w:rsidR="000D447C" w:rsidRPr="00390EA4" w:rsidRDefault="000D447C" w:rsidP="00A64686">
            <w:pPr>
              <w:spacing w:after="0"/>
              <w:ind w:left="239" w:hanging="90"/>
              <w:rPr>
                <w:rFonts w:asciiTheme="majorHAnsi" w:hAnsiTheme="majorHAnsi"/>
                <w:sz w:val="22"/>
                <w:highlight w:val="yellow"/>
              </w:rPr>
            </w:pPr>
            <w:r w:rsidRPr="00390EA4">
              <w:rPr>
                <w:rFonts w:asciiTheme="majorHAnsi" w:hAnsiTheme="majorHAnsi"/>
                <w:sz w:val="22"/>
              </w:rPr>
              <w:t xml:space="preserve">Pièces justificatives relatives aux engagements de cofinancement pris au titre de la prochaine période d’allocation </w:t>
            </w:r>
          </w:p>
        </w:tc>
      </w:tr>
      <w:tr w:rsidR="006E4D18" w:rsidRPr="00E2627C" w14:paraId="5CD74750" w14:textId="77777777" w:rsidTr="00226B41">
        <w:trPr>
          <w:trHeight w:val="567"/>
        </w:trPr>
        <w:tc>
          <w:tcPr>
            <w:tcW w:w="567" w:type="dxa"/>
            <w:shd w:val="clear" w:color="auto" w:fill="auto"/>
            <w:vAlign w:val="center"/>
          </w:tcPr>
          <w:p w14:paraId="60D01336" w14:textId="7B9C7DBC" w:rsidR="006E4D18" w:rsidRDefault="002B2F80" w:rsidP="00FC6510">
            <w:pPr>
              <w:spacing w:after="0"/>
              <w:ind w:hanging="98"/>
              <w:jc w:val="center"/>
              <w:rPr>
                <w:rFonts w:asciiTheme="majorHAnsi" w:hAnsiTheme="majorHAnsi" w:cstheme="majorHAnsi"/>
                <w:b/>
              </w:rPr>
            </w:pPr>
            <w:sdt>
              <w:sdtPr>
                <w:rPr>
                  <w:rFonts w:asciiTheme="majorHAnsi" w:hAnsiTheme="majorHAnsi"/>
                  <w:b/>
                </w:rPr>
                <w:id w:val="-2063856963"/>
                <w14:checkbox>
                  <w14:checked w14:val="1"/>
                  <w14:checkedState w14:val="2612" w14:font="MS Gothic"/>
                  <w14:uncheckedState w14:val="2610" w14:font="MS Gothic"/>
                </w14:checkbox>
              </w:sdtPr>
              <w:sdtEndPr/>
              <w:sdtContent>
                <w:r w:rsidR="001342DF" w:rsidRPr="001342DF">
                  <w:rPr>
                    <w:rFonts w:ascii="MS Gothic" w:eastAsia="MS Gothic" w:hAnsi="MS Gothic" w:hint="eastAsia"/>
                    <w:b/>
                  </w:rPr>
                  <w:t>☒</w:t>
                </w:r>
              </w:sdtContent>
            </w:sdt>
          </w:p>
        </w:tc>
        <w:tc>
          <w:tcPr>
            <w:tcW w:w="8642" w:type="dxa"/>
            <w:vAlign w:val="center"/>
          </w:tcPr>
          <w:p w14:paraId="297DDEC0" w14:textId="6B0CE72C" w:rsidR="006E4D18" w:rsidRPr="00D236CA" w:rsidRDefault="006E4D18" w:rsidP="00A64686">
            <w:pPr>
              <w:spacing w:after="0"/>
              <w:ind w:left="239" w:hanging="90"/>
              <w:rPr>
                <w:rFonts w:asciiTheme="majorHAnsi" w:hAnsiTheme="majorHAnsi"/>
              </w:rPr>
            </w:pPr>
            <w:r w:rsidRPr="00390EA4">
              <w:rPr>
                <w:rFonts w:asciiTheme="majorHAnsi" w:hAnsiTheme="majorHAnsi"/>
                <w:sz w:val="22"/>
              </w:rPr>
              <w:t>Évaluation du degré de préparation à la transition (si disponible)</w:t>
            </w:r>
          </w:p>
        </w:tc>
      </w:tr>
      <w:tr w:rsidR="006E4D18" w:rsidRPr="00E2627C" w14:paraId="2915942E" w14:textId="77777777" w:rsidTr="00226B41">
        <w:trPr>
          <w:trHeight w:val="567"/>
        </w:trPr>
        <w:tc>
          <w:tcPr>
            <w:tcW w:w="567" w:type="dxa"/>
            <w:shd w:val="clear" w:color="auto" w:fill="auto"/>
            <w:vAlign w:val="center"/>
          </w:tcPr>
          <w:p w14:paraId="362C5F76" w14:textId="70A70B84" w:rsidR="006E4D18"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b/>
                </w:rPr>
                <w:id w:val="1226954297"/>
                <w14:checkbox>
                  <w14:checked w14:val="1"/>
                  <w14:checkedState w14:val="2612" w14:font="MS Gothic"/>
                  <w14:uncheckedState w14:val="2610" w14:font="MS Gothic"/>
                </w14:checkbox>
              </w:sdtPr>
              <w:sdtEndPr/>
              <w:sdtContent>
                <w:r w:rsidR="001342DF" w:rsidRPr="001342DF">
                  <w:rPr>
                    <w:rFonts w:ascii="MS Gothic" w:eastAsia="MS Gothic" w:hAnsi="MS Gothic" w:hint="eastAsia"/>
                    <w:b/>
                  </w:rPr>
                  <w:t>☒</w:t>
                </w:r>
              </w:sdtContent>
            </w:sdt>
          </w:p>
        </w:tc>
        <w:tc>
          <w:tcPr>
            <w:tcW w:w="8642" w:type="dxa"/>
            <w:vAlign w:val="center"/>
          </w:tcPr>
          <w:p w14:paraId="5F570988" w14:textId="77777777" w:rsidR="006E4D18" w:rsidRPr="00390EA4" w:rsidRDefault="006E4D18" w:rsidP="00A64686">
            <w:pPr>
              <w:spacing w:after="0"/>
              <w:ind w:left="239" w:hanging="90"/>
              <w:rPr>
                <w:rFonts w:asciiTheme="majorHAnsi" w:hAnsiTheme="majorHAnsi"/>
                <w:sz w:val="22"/>
              </w:rPr>
            </w:pPr>
            <w:r w:rsidRPr="00390EA4">
              <w:rPr>
                <w:rFonts w:asciiTheme="majorHAnsi" w:hAnsiTheme="majorHAnsi"/>
                <w:sz w:val="22"/>
              </w:rPr>
              <w:t>Plans stratégiques nationaux (relatifs au secteur de la santé et propres aux différentes maladies)</w:t>
            </w:r>
          </w:p>
        </w:tc>
      </w:tr>
      <w:tr w:rsidR="006E4D18" w:rsidRPr="00E2627C" w14:paraId="05024AC5" w14:textId="77777777" w:rsidTr="00226B41">
        <w:trPr>
          <w:trHeight w:val="567"/>
        </w:trPr>
        <w:tc>
          <w:tcPr>
            <w:tcW w:w="567" w:type="dxa"/>
            <w:shd w:val="clear" w:color="auto" w:fill="auto"/>
            <w:vAlign w:val="center"/>
          </w:tcPr>
          <w:p w14:paraId="3BE26029" w14:textId="4FA73334" w:rsidR="006E4D18"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b/>
                </w:rPr>
                <w:id w:val="1302270637"/>
                <w14:checkbox>
                  <w14:checked w14:val="1"/>
                  <w14:checkedState w14:val="2612" w14:font="MS Gothic"/>
                  <w14:uncheckedState w14:val="2610" w14:font="MS Gothic"/>
                </w14:checkbox>
              </w:sdtPr>
              <w:sdtEndPr/>
              <w:sdtContent>
                <w:r w:rsidR="001342DF" w:rsidRPr="001342DF">
                  <w:rPr>
                    <w:rFonts w:ascii="MS Gothic" w:eastAsia="MS Gothic" w:hAnsi="MS Gothic" w:hint="eastAsia"/>
                    <w:b/>
                  </w:rPr>
                  <w:t>☒</w:t>
                </w:r>
              </w:sdtContent>
            </w:sdt>
          </w:p>
        </w:tc>
        <w:tc>
          <w:tcPr>
            <w:tcW w:w="8642" w:type="dxa"/>
            <w:vAlign w:val="center"/>
          </w:tcPr>
          <w:p w14:paraId="768FC841" w14:textId="77777777" w:rsidR="006E4D18" w:rsidRPr="00390EA4" w:rsidRDefault="006E4D18" w:rsidP="00A64686">
            <w:pPr>
              <w:spacing w:after="0"/>
              <w:ind w:left="239" w:hanging="90"/>
              <w:rPr>
                <w:rFonts w:asciiTheme="majorHAnsi" w:hAnsiTheme="majorHAnsi"/>
                <w:sz w:val="22"/>
              </w:rPr>
            </w:pPr>
            <w:r w:rsidRPr="00390EA4">
              <w:rPr>
                <w:rFonts w:asciiTheme="majorHAnsi" w:hAnsiTheme="majorHAnsi"/>
                <w:sz w:val="22"/>
              </w:rPr>
              <w:t>Toutes les pièces justificatives citées dans la demande de financement</w:t>
            </w:r>
          </w:p>
        </w:tc>
      </w:tr>
      <w:tr w:rsidR="006E4D18" w:rsidRPr="00E2627C" w14:paraId="3BF73B44" w14:textId="77777777" w:rsidTr="00226B41">
        <w:trPr>
          <w:trHeight w:val="567"/>
        </w:trPr>
        <w:tc>
          <w:tcPr>
            <w:tcW w:w="567" w:type="dxa"/>
            <w:shd w:val="clear" w:color="auto" w:fill="auto"/>
            <w:vAlign w:val="center"/>
          </w:tcPr>
          <w:p w14:paraId="43FB236F" w14:textId="0D49EFF1" w:rsidR="006E4D18"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b/>
                </w:rPr>
                <w:id w:val="-1828971492"/>
                <w14:checkbox>
                  <w14:checked w14:val="1"/>
                  <w14:checkedState w14:val="2612" w14:font="MS Gothic"/>
                  <w14:uncheckedState w14:val="2610" w14:font="MS Gothic"/>
                </w14:checkbox>
              </w:sdtPr>
              <w:sdtEndPr/>
              <w:sdtContent>
                <w:r w:rsidR="001342DF" w:rsidRPr="001342DF">
                  <w:rPr>
                    <w:rFonts w:ascii="MS Gothic" w:eastAsia="MS Gothic" w:hAnsi="MS Gothic" w:hint="eastAsia"/>
                    <w:b/>
                  </w:rPr>
                  <w:t>☒</w:t>
                </w:r>
              </w:sdtContent>
            </w:sdt>
          </w:p>
        </w:tc>
        <w:tc>
          <w:tcPr>
            <w:tcW w:w="8642" w:type="dxa"/>
            <w:vAlign w:val="center"/>
          </w:tcPr>
          <w:p w14:paraId="148B3830" w14:textId="5C9687DD" w:rsidR="006E4D18" w:rsidRPr="00390EA4" w:rsidRDefault="006E4D18" w:rsidP="00A64686">
            <w:pPr>
              <w:spacing w:after="0"/>
              <w:ind w:left="239" w:hanging="90"/>
              <w:rPr>
                <w:rFonts w:asciiTheme="majorHAnsi" w:hAnsiTheme="majorHAnsi"/>
                <w:sz w:val="22"/>
              </w:rPr>
            </w:pPr>
            <w:r w:rsidRPr="00390EA4">
              <w:rPr>
                <w:rFonts w:asciiTheme="majorHAnsi" w:hAnsiTheme="majorHAnsi"/>
                <w:sz w:val="22"/>
              </w:rPr>
              <w:t>Outil de gestion des produits de santé (le cas échéant)</w:t>
            </w:r>
          </w:p>
        </w:tc>
      </w:tr>
      <w:tr w:rsidR="006E4D18" w:rsidRPr="00E2627C" w14:paraId="7D539465" w14:textId="77777777" w:rsidTr="00226B41">
        <w:trPr>
          <w:trHeight w:val="567"/>
        </w:trPr>
        <w:tc>
          <w:tcPr>
            <w:tcW w:w="567" w:type="dxa"/>
            <w:shd w:val="clear" w:color="auto" w:fill="auto"/>
            <w:vAlign w:val="center"/>
          </w:tcPr>
          <w:p w14:paraId="39CEEDBA" w14:textId="0F8EDAE2" w:rsidR="006E4D18" w:rsidRPr="00226B41" w:rsidRDefault="002B2F80" w:rsidP="00FC6510">
            <w:pPr>
              <w:spacing w:after="0"/>
              <w:ind w:hanging="98"/>
              <w:jc w:val="center"/>
              <w:rPr>
                <w:rFonts w:asciiTheme="majorHAnsi" w:hAnsiTheme="majorHAnsi" w:cstheme="majorHAnsi"/>
                <w:b/>
                <w:sz w:val="22"/>
                <w:szCs w:val="22"/>
              </w:rPr>
            </w:pPr>
            <w:sdt>
              <w:sdtPr>
                <w:rPr>
                  <w:rFonts w:asciiTheme="majorHAnsi" w:hAnsiTheme="majorHAnsi"/>
                </w:rPr>
                <w:id w:val="-784813489"/>
                <w14:checkbox>
                  <w14:checked w14:val="1"/>
                  <w14:checkedState w14:val="2612" w14:font="MS Gothic"/>
                  <w14:uncheckedState w14:val="2610" w14:font="MS Gothic"/>
                </w14:checkbox>
              </w:sdtPr>
              <w:sdtEndPr/>
              <w:sdtContent>
                <w:r w:rsidR="001342DF" w:rsidRPr="001342DF">
                  <w:rPr>
                    <w:rFonts w:ascii="MS Gothic" w:eastAsia="MS Gothic" w:hAnsi="MS Gothic" w:hint="eastAsia"/>
                  </w:rPr>
                  <w:t>☒</w:t>
                </w:r>
              </w:sdtContent>
            </w:sdt>
          </w:p>
        </w:tc>
        <w:tc>
          <w:tcPr>
            <w:tcW w:w="8642" w:type="dxa"/>
            <w:vAlign w:val="center"/>
          </w:tcPr>
          <w:p w14:paraId="5282C1D9" w14:textId="77777777" w:rsidR="006E4D18" w:rsidRPr="00390EA4" w:rsidRDefault="006E4D18" w:rsidP="00A64686">
            <w:pPr>
              <w:spacing w:after="0"/>
              <w:ind w:left="239" w:hanging="90"/>
              <w:rPr>
                <w:rFonts w:asciiTheme="majorHAnsi" w:hAnsiTheme="majorHAnsi"/>
                <w:sz w:val="22"/>
              </w:rPr>
            </w:pPr>
            <w:r w:rsidRPr="00390EA4">
              <w:rPr>
                <w:rFonts w:asciiTheme="majorHAnsi" w:hAnsiTheme="majorHAnsi"/>
                <w:sz w:val="22"/>
              </w:rPr>
              <w:t>Liste des abréviations et des annexes</w:t>
            </w:r>
          </w:p>
        </w:tc>
      </w:tr>
      <w:bookmarkEnd w:id="32"/>
    </w:tbl>
    <w:p w14:paraId="2DA8B3FE" w14:textId="77777777" w:rsidR="00FC7EB1" w:rsidRPr="00D236CA" w:rsidRDefault="00FC7EB1" w:rsidP="009B6C0D">
      <w:pPr>
        <w:spacing w:after="0"/>
      </w:pPr>
    </w:p>
    <w:sectPr w:rsidR="00FC7EB1" w:rsidRPr="00D236CA" w:rsidSect="00B816D4">
      <w:headerReference w:type="default" r:id="rId29"/>
      <w:footerReference w:type="default" r:id="rId30"/>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9D0C" w14:textId="77777777" w:rsidR="002B2F80" w:rsidRPr="009F52F1" w:rsidRDefault="002B2F80" w:rsidP="0013691B">
      <w:pPr>
        <w:spacing w:after="0" w:line="240" w:lineRule="auto"/>
      </w:pPr>
      <w:r w:rsidRPr="009F52F1">
        <w:separator/>
      </w:r>
    </w:p>
  </w:endnote>
  <w:endnote w:type="continuationSeparator" w:id="0">
    <w:p w14:paraId="25CE87A6" w14:textId="77777777" w:rsidR="002B2F80" w:rsidRPr="009F52F1" w:rsidRDefault="002B2F80" w:rsidP="0013691B">
      <w:pPr>
        <w:spacing w:after="0" w:line="240" w:lineRule="auto"/>
      </w:pPr>
      <w:r w:rsidRPr="009F52F1">
        <w:continuationSeparator/>
      </w:r>
    </w:p>
  </w:endnote>
  <w:endnote w:type="continuationNotice" w:id="1">
    <w:p w14:paraId="717B4207" w14:textId="77777777" w:rsidR="002B2F80" w:rsidRDefault="002B2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DCE2" w14:textId="77777777" w:rsidR="008D06AB" w:rsidRPr="00D236CA" w:rsidRDefault="008D06AB" w:rsidP="00415BC1">
    <w:pPr>
      <w:spacing w:after="0"/>
      <w:jc w:val="center"/>
      <w:rPr>
        <w:color w:val="A6A6A6" w:themeColor="background1" w:themeShade="A6"/>
        <w:sz w:val="18"/>
      </w:rPr>
    </w:pPr>
    <w:bookmarkStart w:id="6" w:name="_Hlk15379584"/>
    <w:bookmarkStart w:id="7" w:name="_Hlk15379585"/>
    <w:r w:rsidRPr="00E80CEF">
      <w:rPr>
        <w:color w:val="A6A6A6" w:themeColor="background1" w:themeShade="A6"/>
        <w:sz w:val="18"/>
      </w:rPr>
      <w:t>Formulaire de demande de financement soumise à un examen complet</w:t>
    </w:r>
  </w:p>
  <w:p w14:paraId="6F754D60" w14:textId="55A5675B" w:rsidR="008D06AB" w:rsidRDefault="008D06AB" w:rsidP="00415BC1">
    <w:pPr>
      <w:pStyle w:val="Footer"/>
      <w:jc w:val="center"/>
    </w:pPr>
    <w:r>
      <w:rPr>
        <w:color w:val="A6A6A6" w:themeColor="background1" w:themeShade="A6"/>
        <w:sz w:val="18"/>
      </w:rPr>
      <w:t xml:space="preserve">Date de publication : </w:t>
    </w:r>
    <w:r w:rsidRPr="008169BD">
      <w:rPr>
        <w:color w:val="A6A6A6" w:themeColor="background1" w:themeShade="A6"/>
        <w:sz w:val="18"/>
      </w:rPr>
      <w:t>novembre</w:t>
    </w:r>
    <w:r>
      <w:rPr>
        <w:color w:val="A6A6A6" w:themeColor="background1" w:themeShade="A6"/>
        <w:sz w:val="18"/>
      </w:rPr>
      <w:t xml:space="preserve"> 2019</w:t>
    </w:r>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735627"/>
      <w:docPartObj>
        <w:docPartGallery w:val="Page Numbers (Bottom of Page)"/>
        <w:docPartUnique/>
      </w:docPartObj>
    </w:sdtPr>
    <w:sdtEndPr>
      <w:rPr>
        <w:noProof/>
      </w:rPr>
    </w:sdtEndPr>
    <w:sdtContent>
      <w:p w14:paraId="0E4B75CA" w14:textId="77777777" w:rsidR="008D06AB" w:rsidRPr="00E80CEF" w:rsidRDefault="008D06AB">
        <w:pPr>
          <w:pStyle w:val="Footer"/>
          <w:jc w:val="right"/>
        </w:pPr>
        <w:r w:rsidRPr="00390EA4">
          <w:fldChar w:fldCharType="begin"/>
        </w:r>
        <w:r>
          <w:rPr>
            <w:lang w:bidi="fr-FR"/>
          </w:rPr>
          <w:instrText xml:space="preserve"> PAGE   \* MERGEFORMAT </w:instrText>
        </w:r>
        <w:r w:rsidRPr="00390EA4">
          <w:fldChar w:fldCharType="separate"/>
        </w:r>
        <w:r>
          <w:rPr>
            <w:noProof/>
            <w:lang w:bidi="fr-FR"/>
          </w:rPr>
          <w:t>47</w:t>
        </w:r>
        <w:r w:rsidRPr="00390EA4">
          <w:fldChar w:fldCharType="end"/>
        </w:r>
      </w:p>
    </w:sdtContent>
  </w:sdt>
  <w:p w14:paraId="7FF28758" w14:textId="7D710099" w:rsidR="008D06AB" w:rsidRPr="00750CA9" w:rsidRDefault="008D06AB" w:rsidP="00051A41">
    <w:pPr>
      <w:spacing w:after="0"/>
      <w:jc w:val="center"/>
      <w:rPr>
        <w:rFonts w:ascii="Arial" w:hAnsi="Arial"/>
        <w:color w:val="A6A6A6" w:themeColor="background1" w:themeShade="A6"/>
        <w:sz w:val="18"/>
      </w:rPr>
    </w:pPr>
    <w:bookmarkStart w:id="34" w:name="_Hlk14420169"/>
    <w:r w:rsidRPr="00EF23C6">
      <w:rPr>
        <w:color w:val="A6A6A6" w:themeColor="background1" w:themeShade="A6"/>
        <w:sz w:val="18"/>
      </w:rPr>
      <w:t>Formulaire de demande de financement soumise à un examen complet</w:t>
    </w:r>
  </w:p>
  <w:p w14:paraId="163F2751" w14:textId="4F13950D" w:rsidR="008D06AB" w:rsidRPr="00415BC1" w:rsidRDefault="008D06AB" w:rsidP="00415BC1">
    <w:pPr>
      <w:spacing w:after="0"/>
      <w:jc w:val="center"/>
      <w:rPr>
        <w:b/>
        <w:color w:val="A6A6A6" w:themeColor="background1" w:themeShade="A6"/>
        <w:sz w:val="18"/>
        <w:szCs w:val="18"/>
      </w:rPr>
    </w:pPr>
    <w:r>
      <w:rPr>
        <w:color w:val="A6A6A6" w:themeColor="background1" w:themeShade="A6"/>
        <w:sz w:val="18"/>
      </w:rPr>
      <w:t xml:space="preserve">Date de publication : </w:t>
    </w:r>
    <w:bookmarkStart w:id="35" w:name="_Hlk23522391"/>
    <w:r w:rsidRPr="008169BD">
      <w:rPr>
        <w:color w:val="A6A6A6" w:themeColor="background1" w:themeShade="A6"/>
        <w:sz w:val="18"/>
      </w:rPr>
      <w:t>novembre</w:t>
    </w:r>
    <w:bookmarkEnd w:id="35"/>
    <w:r>
      <w:rPr>
        <w:color w:val="A6A6A6" w:themeColor="background1" w:themeShade="A6"/>
        <w:sz w:val="18"/>
      </w:rPr>
      <w:t xml:space="preserve"> 2019</w:t>
    </w:r>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2969" w14:textId="77777777" w:rsidR="002B2F80" w:rsidRPr="009F52F1" w:rsidRDefault="002B2F80" w:rsidP="0013691B">
      <w:pPr>
        <w:spacing w:after="0" w:line="240" w:lineRule="auto"/>
      </w:pPr>
      <w:r w:rsidRPr="009F52F1">
        <w:separator/>
      </w:r>
    </w:p>
  </w:footnote>
  <w:footnote w:type="continuationSeparator" w:id="0">
    <w:p w14:paraId="52F86D1D" w14:textId="77777777" w:rsidR="002B2F80" w:rsidRPr="009F52F1" w:rsidRDefault="002B2F80" w:rsidP="0013691B">
      <w:pPr>
        <w:spacing w:after="0" w:line="240" w:lineRule="auto"/>
      </w:pPr>
      <w:r w:rsidRPr="009F52F1">
        <w:continuationSeparator/>
      </w:r>
    </w:p>
  </w:footnote>
  <w:footnote w:type="continuationNotice" w:id="1">
    <w:p w14:paraId="616EEF77" w14:textId="77777777" w:rsidR="002B2F80" w:rsidRDefault="002B2F80">
      <w:pPr>
        <w:spacing w:after="0" w:line="240" w:lineRule="auto"/>
      </w:pPr>
    </w:p>
  </w:footnote>
  <w:footnote w:id="2">
    <w:p w14:paraId="5F88253B" w14:textId="60EBAE4D" w:rsidR="008D06AB" w:rsidRPr="00390EA4" w:rsidRDefault="008D06AB" w:rsidP="0098553B">
      <w:pPr>
        <w:pStyle w:val="FootnoteText"/>
        <w:rPr>
          <w:lang w:val="fr-FR"/>
        </w:rPr>
      </w:pPr>
      <w:r>
        <w:rPr>
          <w:rStyle w:val="FootnoteReference"/>
          <w:lang w:val="fr-FR" w:bidi="fr-FR"/>
        </w:rPr>
        <w:footnoteRef/>
      </w:r>
      <w:r w:rsidRPr="00390EA4">
        <w:rPr>
          <w:lang w:val="fr-FR"/>
        </w:rPr>
        <w:t xml:space="preserve"> Les demandes hiérarchisées de financement au-delà de la somme allouée ne peuvent être déposées que conjointement avec la demande de financement. Pour élaborer une demande hiérarchisée de financement au-delà de la somme allouée, remplir le document-type au format Excel qui sera transmis par le Secrétariat du Fonds mondial.</w:t>
      </w:r>
    </w:p>
  </w:footnote>
  <w:footnote w:id="3">
    <w:p w14:paraId="05093AC7" w14:textId="4C8AA101" w:rsidR="008D06AB" w:rsidRPr="00390EA4" w:rsidRDefault="008D06AB" w:rsidP="0098553B">
      <w:pPr>
        <w:pStyle w:val="FootnoteText"/>
        <w:rPr>
          <w:lang w:val="fr-FR"/>
        </w:rPr>
      </w:pPr>
      <w:r>
        <w:rPr>
          <w:rStyle w:val="FootnoteReference"/>
          <w:lang w:val="fr-FR" w:bidi="fr-FR"/>
        </w:rPr>
        <w:footnoteRef/>
      </w:r>
      <w:r w:rsidRPr="00390EA4">
        <w:rPr>
          <w:lang w:val="fr-FR"/>
        </w:rPr>
        <w:t xml:space="preserve"> Cette section ne concerne que les candidats dont la lettre d’allocation indique que des fonds de contrepartie leur ont été assignés.</w:t>
      </w:r>
    </w:p>
    <w:p w14:paraId="1529CB48" w14:textId="77777777" w:rsidR="008D06AB" w:rsidRPr="00390EA4" w:rsidRDefault="008D06AB" w:rsidP="0098553B">
      <w:pPr>
        <w:pStyle w:val="FootnoteText"/>
        <w:rPr>
          <w:lang w:val="fr-FR"/>
        </w:rPr>
      </w:pPr>
    </w:p>
  </w:footnote>
  <w:footnote w:id="4">
    <w:p w14:paraId="33485A57" w14:textId="1DA3E1C4" w:rsidR="008D06AB" w:rsidRPr="00D236CA" w:rsidRDefault="008D06AB" w:rsidP="0024579D">
      <w:pPr>
        <w:autoSpaceDE w:val="0"/>
        <w:autoSpaceDN w:val="0"/>
        <w:spacing w:before="40" w:after="40" w:line="240" w:lineRule="auto"/>
        <w:rPr>
          <w:sz w:val="16"/>
        </w:rPr>
      </w:pPr>
      <w:r w:rsidRPr="00896E68">
        <w:rPr>
          <w:rStyle w:val="FootnoteReference"/>
          <w:sz w:val="16"/>
          <w:szCs w:val="16"/>
          <w:lang w:val="fr-FR" w:bidi="fr-FR"/>
        </w:rPr>
        <w:footnoteRef/>
      </w:r>
      <w:r w:rsidRPr="00E80CEF">
        <w:rPr>
          <w:sz w:val="16"/>
        </w:rPr>
        <w:t xml:space="preserve"> La cartographie actualisée des modalités de mise en œuvre est </w:t>
      </w:r>
      <w:r w:rsidRPr="00896E68">
        <w:rPr>
          <w:sz w:val="16"/>
        </w:rPr>
        <w:t xml:space="preserve">obligatoire si le programme se poursuit avec le même récipiendaire principal. En cas de changement de récipiendaire principal, cette cartographie peut être transmise lors de l’étape d’élaboration de la subvention. </w:t>
      </w:r>
    </w:p>
    <w:p w14:paraId="6C0CD0AE" w14:textId="23CE0FFE" w:rsidR="008D06AB" w:rsidRPr="00390EA4" w:rsidRDefault="008D06AB">
      <w:pPr>
        <w:pStyle w:val="FootnoteText"/>
        <w:rPr>
          <w:lang w:val="fr-FR"/>
        </w:rPr>
      </w:pPr>
    </w:p>
  </w:footnote>
  <w:footnote w:id="5">
    <w:p w14:paraId="2F321D10" w14:textId="77777777" w:rsidR="008D06AB" w:rsidRPr="001F5D71" w:rsidRDefault="008D06AB" w:rsidP="00CD3B4E">
      <w:pPr>
        <w:spacing w:after="0" w:line="240" w:lineRule="auto"/>
        <w:rPr>
          <w:sz w:val="16"/>
        </w:rPr>
      </w:pPr>
      <w:r w:rsidRPr="0044532F">
        <w:rPr>
          <w:rStyle w:val="FootnoteReference"/>
          <w:sz w:val="16"/>
        </w:rPr>
        <w:footnoteRef/>
      </w:r>
      <w:r w:rsidRPr="001F5D71">
        <w:rPr>
          <w:sz w:val="16"/>
        </w:rPr>
        <w:t xml:space="preserve"> </w:t>
      </w:r>
      <w:bookmarkStart w:id="29" w:name="_Hlk23159007"/>
      <w:r w:rsidRPr="001F5D71">
        <w:rPr>
          <w:sz w:val="16"/>
        </w:rPr>
        <w:t xml:space="preserve">Notez que le Fonds Mondial peut mettre à la disposition du public les informations tirées des documents justificatifs fournis en réponse aux questions ci-dessous, y compris les informations sur le(s) tableau(x) du paysage de financement ou les engagements nationaux. </w:t>
      </w:r>
    </w:p>
    <w:bookmarkEnd w:id="29"/>
    <w:p w14:paraId="317C029D" w14:textId="0330DC60" w:rsidR="008D06AB" w:rsidRPr="001F5D71" w:rsidRDefault="008D06AB" w:rsidP="00CD3B4E">
      <w:pPr>
        <w:rPr>
          <w:sz w:val="16"/>
        </w:rPr>
      </w:pPr>
    </w:p>
    <w:p w14:paraId="0792675F" w14:textId="56EBDCA1" w:rsidR="008D06AB" w:rsidRPr="00390EA4" w:rsidRDefault="008D06AB">
      <w:pPr>
        <w:pStyle w:val="FootnoteText"/>
        <w:rPr>
          <w:lang w:val="fr-FR"/>
        </w:rPr>
      </w:pPr>
    </w:p>
  </w:footnote>
  <w:footnote w:id="6">
    <w:p w14:paraId="54A2E437" w14:textId="77777777" w:rsidR="008D06AB" w:rsidRPr="00390EA4" w:rsidRDefault="008D06AB" w:rsidP="00226B41">
      <w:pPr>
        <w:pStyle w:val="FootnoteText"/>
        <w:rPr>
          <w:lang w:val="fr-FR"/>
        </w:rPr>
      </w:pPr>
      <w:r w:rsidRPr="00896E68">
        <w:rPr>
          <w:rStyle w:val="FootnoteReference"/>
          <w:szCs w:val="16"/>
          <w:lang w:val="fr-FR" w:bidi="fr-FR"/>
        </w:rPr>
        <w:footnoteRef/>
      </w:r>
      <w:r w:rsidRPr="00390EA4">
        <w:rPr>
          <w:lang w:val="fr-FR"/>
        </w:rPr>
        <w:t xml:space="preserve"> </w:t>
      </w:r>
      <w:bookmarkStart w:id="33" w:name="_Hlk14776208"/>
      <w:r w:rsidRPr="00390EA4">
        <w:rPr>
          <w:lang w:val="fr-FR"/>
        </w:rPr>
        <w:t>La cartographie actualisée des modalités de mise en œuvre est obligatoire si le programme se poursuit avec le même récipiendaire principal. En cas de changement de récipiendaire principal, cette cartographie peut être transmise lors de l’étape d’élaboration de la subvention.</w:t>
      </w:r>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1B8A" w14:textId="38A720E3" w:rsidR="008D06AB" w:rsidRPr="009F52F1" w:rsidRDefault="002B2F80" w:rsidP="00D642CC">
    <w:pPr>
      <w:pStyle w:val="HeaderHidden"/>
    </w:pPr>
    <w:sdt>
      <w:sdtPr>
        <w:alias w:val="Form.ReportLocation"/>
        <w:tag w:val="{&quot;templafy&quot;:{&quot;id&quot;:&quot;df3addba-5040-40ab-9b8a-156bd632013e&quot;}}"/>
        <w:id w:val="-2087220409"/>
        <w:placeholder>
          <w:docPart w:val="184E481C97614ACFA5029A0F885399E6"/>
        </w:placeholder>
      </w:sdtPr>
      <w:sdtEndPr/>
      <w:sdtContent>
        <w:r w:rsidR="008D06AB" w:rsidRPr="00390EA4">
          <w:rPr>
            <w:lang w:val="fr-FR"/>
          </w:rPr>
          <w:t>Genève</w:t>
        </w:r>
      </w:sdtContent>
    </w:sdt>
    <w:r w:rsidR="008D06AB" w:rsidRPr="00390EA4">
      <w:rPr>
        <w:lang w:val="fr-FR"/>
      </w:rPr>
      <w:t xml:space="preserve">, </w:t>
    </w:r>
    <w:sdt>
      <w:sdtPr>
        <w:alias w:val="Form.ReportCountry"/>
        <w:tag w:val="{&quot;templafy&quot;:{&quot;id&quot;:&quot;c0e2ba74-3394-4c55-b0cc-2fc8a393067e&quot;}}"/>
        <w:id w:val="2010402108"/>
        <w:placeholder>
          <w:docPart w:val="DefaultPlaceholder_-1854013440"/>
        </w:placeholder>
      </w:sdtPr>
      <w:sdtEndPr/>
      <w:sdtContent>
        <w:r w:rsidR="008D06AB" w:rsidRPr="00390EA4">
          <w:rPr>
            <w:lang w:val="fr-FR"/>
          </w:rPr>
          <w:t>Suisse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7263" w14:textId="77777777" w:rsidR="008D06AB" w:rsidRDefault="008D0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75D99"/>
    <w:multiLevelType w:val="hybridMultilevel"/>
    <w:tmpl w:val="78637A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51290A"/>
    <w:multiLevelType w:val="hybridMultilevel"/>
    <w:tmpl w:val="F468EF96"/>
    <w:lvl w:ilvl="0" w:tplc="307C4C30">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615D2D"/>
    <w:multiLevelType w:val="hybridMultilevel"/>
    <w:tmpl w:val="F468EF96"/>
    <w:lvl w:ilvl="0" w:tplc="307C4C30">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4" w15:restartNumberingAfterBreak="0">
    <w:nsid w:val="066512CC"/>
    <w:multiLevelType w:val="hybridMultilevel"/>
    <w:tmpl w:val="99D86D46"/>
    <w:lvl w:ilvl="0" w:tplc="0AACB086">
      <w:numFmt w:val="bullet"/>
      <w:lvlText w:val="-"/>
      <w:lvlJc w:val="center"/>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92748E7"/>
    <w:multiLevelType w:val="hybridMultilevel"/>
    <w:tmpl w:val="F468EF96"/>
    <w:lvl w:ilvl="0" w:tplc="307C4C30">
      <w:start w:val="1"/>
      <w:numFmt w:val="decimal"/>
      <w:lvlText w:val="%1."/>
      <w:lvlJc w:val="left"/>
      <w:pPr>
        <w:ind w:left="720" w:hanging="360"/>
      </w:pPr>
      <w:rPr>
        <w:rFonts w:hint="default"/>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A771DC6"/>
    <w:multiLevelType w:val="hybridMultilevel"/>
    <w:tmpl w:val="8DE4D5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139C0C63"/>
    <w:multiLevelType w:val="hybridMultilevel"/>
    <w:tmpl w:val="0870EB1A"/>
    <w:lvl w:ilvl="0" w:tplc="F81A8340">
      <w:start w:val="1"/>
      <w:numFmt w:val="bullet"/>
      <w:pStyle w:val="liste1"/>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418010D"/>
    <w:multiLevelType w:val="hybridMultilevel"/>
    <w:tmpl w:val="EC8AF6F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4344584"/>
    <w:multiLevelType w:val="hybridMultilevel"/>
    <w:tmpl w:val="E3000A16"/>
    <w:lvl w:ilvl="0" w:tplc="04090017">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5754EBA"/>
    <w:multiLevelType w:val="hybridMultilevel"/>
    <w:tmpl w:val="00FE8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956306E"/>
    <w:multiLevelType w:val="hybridMultilevel"/>
    <w:tmpl w:val="437A3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8F3F2A"/>
    <w:multiLevelType w:val="hybridMultilevel"/>
    <w:tmpl w:val="2A8E1178"/>
    <w:lvl w:ilvl="0" w:tplc="73D4EBCE">
      <w:start w:val="1"/>
      <w:numFmt w:val="bullet"/>
      <w:pStyle w:val="bulletJBGS"/>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BCF0004"/>
    <w:multiLevelType w:val="hybridMultilevel"/>
    <w:tmpl w:val="835830BC"/>
    <w:lvl w:ilvl="0" w:tplc="040C0005">
      <w:start w:val="1"/>
      <w:numFmt w:val="bullet"/>
      <w:lvlText w:val=""/>
      <w:lvlJc w:val="left"/>
      <w:pPr>
        <w:ind w:left="787" w:hanging="360"/>
      </w:pPr>
      <w:rPr>
        <w:rFonts w:ascii="Wingdings" w:hAnsi="Wingdings" w:hint="default"/>
        <w:b/>
        <w:i/>
      </w:rPr>
    </w:lvl>
    <w:lvl w:ilvl="1" w:tplc="040C0003">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5" w15:restartNumberingAfterBreak="0">
    <w:nsid w:val="1ED871C8"/>
    <w:multiLevelType w:val="hybridMultilevel"/>
    <w:tmpl w:val="22BC0D16"/>
    <w:lvl w:ilvl="0" w:tplc="E26868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B3C5A3D"/>
    <w:multiLevelType w:val="multilevel"/>
    <w:tmpl w:val="1E0632DE"/>
    <w:styleLink w:val="NumHeadingsLst"/>
    <w:lvl w:ilvl="0">
      <w:start w:val="1"/>
      <w:numFmt w:val="decimal"/>
      <w:lvlText w:val="%1."/>
      <w:lvlJc w:val="left"/>
      <w:pPr>
        <w:ind w:left="407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7"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6F4DF2"/>
    <w:multiLevelType w:val="hybridMultilevel"/>
    <w:tmpl w:val="08420C2E"/>
    <w:lvl w:ilvl="0" w:tplc="04090017">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090AA8"/>
    <w:multiLevelType w:val="hybridMultilevel"/>
    <w:tmpl w:val="1C60DAB2"/>
    <w:lvl w:ilvl="0" w:tplc="284401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947AB7"/>
    <w:multiLevelType w:val="multilevel"/>
    <w:tmpl w:val="DD468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B20786"/>
    <w:multiLevelType w:val="multilevel"/>
    <w:tmpl w:val="A17A51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834F91"/>
    <w:multiLevelType w:val="multilevel"/>
    <w:tmpl w:val="14DE0EB2"/>
    <w:lvl w:ilvl="0">
      <w:start w:val="1"/>
      <w:numFmt w:val="decimal"/>
      <w:lvlText w:val="%1."/>
      <w:lvlJc w:val="left"/>
      <w:pPr>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09A0846"/>
    <w:multiLevelType w:val="hybridMultilevel"/>
    <w:tmpl w:val="9C202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6A43806"/>
    <w:multiLevelType w:val="multilevel"/>
    <w:tmpl w:val="E00CD0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7500DFC"/>
    <w:multiLevelType w:val="hybridMultilevel"/>
    <w:tmpl w:val="59B4C5FC"/>
    <w:lvl w:ilvl="0" w:tplc="04090017">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7" w15:restartNumberingAfterBreak="0">
    <w:nsid w:val="4BB230E9"/>
    <w:multiLevelType w:val="hybridMultilevel"/>
    <w:tmpl w:val="00FE8E7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CC14385"/>
    <w:multiLevelType w:val="hybridMultilevel"/>
    <w:tmpl w:val="0664908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4ECF31C0"/>
    <w:multiLevelType w:val="multilevel"/>
    <w:tmpl w:val="17A0D06E"/>
    <w:numStyleLink w:val="NumbListAlpha"/>
  </w:abstractNum>
  <w:abstractNum w:abstractNumId="40" w15:restartNumberingAfterBreak="0">
    <w:nsid w:val="50EB2012"/>
    <w:multiLevelType w:val="multilevel"/>
    <w:tmpl w:val="09C07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297F45"/>
    <w:multiLevelType w:val="hybridMultilevel"/>
    <w:tmpl w:val="84B23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5B06318B"/>
    <w:multiLevelType w:val="hybridMultilevel"/>
    <w:tmpl w:val="CDF25F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C0B54C1"/>
    <w:multiLevelType w:val="hybridMultilevel"/>
    <w:tmpl w:val="6F20A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C881F4F"/>
    <w:multiLevelType w:val="hybridMultilevel"/>
    <w:tmpl w:val="02D861E6"/>
    <w:lvl w:ilvl="0" w:tplc="04090017">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63255D4"/>
    <w:multiLevelType w:val="multilevel"/>
    <w:tmpl w:val="02164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7A61F8E"/>
    <w:multiLevelType w:val="hybridMultilevel"/>
    <w:tmpl w:val="73EE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E80A85"/>
    <w:multiLevelType w:val="hybridMultilevel"/>
    <w:tmpl w:val="9AC2B27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A64C8"/>
    <w:multiLevelType w:val="hybridMultilevel"/>
    <w:tmpl w:val="F468EF96"/>
    <w:lvl w:ilvl="0" w:tplc="307C4C30">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DEF7C1D"/>
    <w:multiLevelType w:val="hybridMultilevel"/>
    <w:tmpl w:val="33000156"/>
    <w:lvl w:ilvl="0" w:tplc="BE122A92">
      <w:start w:val="1"/>
      <w:numFmt w:val="bullet"/>
      <w:pStyle w:val="liste2"/>
      <w:lvlText w:val="-"/>
      <w:lvlJc w:val="left"/>
      <w:pPr>
        <w:ind w:left="720" w:hanging="360"/>
      </w:pPr>
      <w:rPr>
        <w:rFonts w:ascii="Arial Narrow" w:eastAsia="Calibri" w:hAnsi="Arial Narrow" w:cs="Times New Roman"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9A1B10"/>
    <w:multiLevelType w:val="hybridMultilevel"/>
    <w:tmpl w:val="9E64D4C8"/>
    <w:lvl w:ilvl="0" w:tplc="9FD2D8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36"/>
  </w:num>
  <w:num w:numId="13">
    <w:abstractNumId w:val="26"/>
  </w:num>
  <w:num w:numId="14">
    <w:abstractNumId w:val="39"/>
  </w:num>
  <w:num w:numId="15">
    <w:abstractNumId w:val="27"/>
  </w:num>
  <w:num w:numId="16">
    <w:abstractNumId w:val="45"/>
  </w:num>
  <w:num w:numId="17">
    <w:abstractNumId w:val="20"/>
  </w:num>
  <w:num w:numId="18">
    <w:abstractNumId w:val="19"/>
  </w:num>
  <w:num w:numId="19">
    <w:abstractNumId w:val="44"/>
  </w:num>
  <w:num w:numId="20">
    <w:abstractNumId w:val="35"/>
  </w:num>
  <w:num w:numId="21">
    <w:abstractNumId w:val="42"/>
  </w:num>
  <w:num w:numId="22">
    <w:abstractNumId w:val="28"/>
  </w:num>
  <w:num w:numId="23">
    <w:abstractNumId w:val="47"/>
  </w:num>
  <w:num w:numId="24">
    <w:abstractNumId w:val="40"/>
  </w:num>
  <w:num w:numId="25">
    <w:abstractNumId w:val="34"/>
  </w:num>
  <w:num w:numId="26">
    <w:abstractNumId w:val="31"/>
  </w:num>
  <w:num w:numId="27">
    <w:abstractNumId w:val="48"/>
  </w:num>
  <w:num w:numId="28">
    <w:abstractNumId w:val="23"/>
  </w:num>
  <w:num w:numId="29">
    <w:abstractNumId w:val="50"/>
  </w:num>
  <w:num w:numId="30">
    <w:abstractNumId w:val="30"/>
  </w:num>
  <w:num w:numId="31">
    <w:abstractNumId w:val="37"/>
  </w:num>
  <w:num w:numId="32">
    <w:abstractNumId w:val="41"/>
  </w:num>
  <w:num w:numId="33">
    <w:abstractNumId w:val="33"/>
  </w:num>
  <w:num w:numId="34">
    <w:abstractNumId w:val="46"/>
  </w:num>
  <w:num w:numId="35">
    <w:abstractNumId w:val="43"/>
  </w:num>
  <w:num w:numId="36">
    <w:abstractNumId w:val="17"/>
  </w:num>
  <w:num w:numId="37">
    <w:abstractNumId w:val="14"/>
  </w:num>
  <w:num w:numId="38">
    <w:abstractNumId w:val="32"/>
  </w:num>
  <w:num w:numId="39">
    <w:abstractNumId w:val="21"/>
  </w:num>
  <w:num w:numId="40">
    <w:abstractNumId w:val="12"/>
  </w:num>
  <w:num w:numId="41">
    <w:abstractNumId w:val="11"/>
  </w:num>
  <w:num w:numId="42">
    <w:abstractNumId w:val="15"/>
  </w:num>
  <w:num w:numId="43">
    <w:abstractNumId w:val="49"/>
  </w:num>
  <w:num w:numId="44">
    <w:abstractNumId w:val="38"/>
  </w:num>
  <w:num w:numId="45">
    <w:abstractNumId w:val="24"/>
  </w:num>
  <w:num w:numId="46">
    <w:abstractNumId w:val="18"/>
  </w:num>
  <w:num w:numId="47">
    <w:abstractNumId w:val="22"/>
  </w:num>
  <w:num w:numId="48">
    <w:abstractNumId w:val="25"/>
  </w:num>
  <w:num w:numId="49">
    <w:abstractNumId w:val="51"/>
  </w:num>
  <w:num w:numId="50">
    <w:abstractNumId w:val="16"/>
  </w:num>
  <w:num w:numId="51">
    <w:abstractNumId w:val="0"/>
  </w:num>
  <w:num w:numId="52">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2153"/>
    <w:rsid w:val="000027DE"/>
    <w:rsid w:val="00003615"/>
    <w:rsid w:val="000044E4"/>
    <w:rsid w:val="000061AA"/>
    <w:rsid w:val="000067A2"/>
    <w:rsid w:val="000067AC"/>
    <w:rsid w:val="0000735D"/>
    <w:rsid w:val="00007408"/>
    <w:rsid w:val="000079FB"/>
    <w:rsid w:val="00010133"/>
    <w:rsid w:val="00011C83"/>
    <w:rsid w:val="00011D89"/>
    <w:rsid w:val="00012AFA"/>
    <w:rsid w:val="00012D5F"/>
    <w:rsid w:val="000152D7"/>
    <w:rsid w:val="000154E4"/>
    <w:rsid w:val="00015707"/>
    <w:rsid w:val="00015A96"/>
    <w:rsid w:val="00015F71"/>
    <w:rsid w:val="00016A39"/>
    <w:rsid w:val="00021113"/>
    <w:rsid w:val="000223CE"/>
    <w:rsid w:val="000226A7"/>
    <w:rsid w:val="0002374C"/>
    <w:rsid w:val="00024539"/>
    <w:rsid w:val="00024DFE"/>
    <w:rsid w:val="00025B85"/>
    <w:rsid w:val="00026621"/>
    <w:rsid w:val="00026B43"/>
    <w:rsid w:val="0002709B"/>
    <w:rsid w:val="000272A7"/>
    <w:rsid w:val="00027A77"/>
    <w:rsid w:val="00027D89"/>
    <w:rsid w:val="00031C81"/>
    <w:rsid w:val="00031E56"/>
    <w:rsid w:val="00032DCD"/>
    <w:rsid w:val="00032E07"/>
    <w:rsid w:val="000345FC"/>
    <w:rsid w:val="00034984"/>
    <w:rsid w:val="00036627"/>
    <w:rsid w:val="0003674B"/>
    <w:rsid w:val="00037A07"/>
    <w:rsid w:val="00041CAA"/>
    <w:rsid w:val="000448F3"/>
    <w:rsid w:val="000451C3"/>
    <w:rsid w:val="00046849"/>
    <w:rsid w:val="0004689E"/>
    <w:rsid w:val="00047C4F"/>
    <w:rsid w:val="00051A41"/>
    <w:rsid w:val="000520C7"/>
    <w:rsid w:val="000525BF"/>
    <w:rsid w:val="00052C3F"/>
    <w:rsid w:val="00054E5F"/>
    <w:rsid w:val="000550ED"/>
    <w:rsid w:val="00057F5E"/>
    <w:rsid w:val="0006089C"/>
    <w:rsid w:val="00062C02"/>
    <w:rsid w:val="000639D0"/>
    <w:rsid w:val="00064171"/>
    <w:rsid w:val="00070F3D"/>
    <w:rsid w:val="00071982"/>
    <w:rsid w:val="00071DC8"/>
    <w:rsid w:val="00073933"/>
    <w:rsid w:val="00073F72"/>
    <w:rsid w:val="00075401"/>
    <w:rsid w:val="000760AB"/>
    <w:rsid w:val="00080C1F"/>
    <w:rsid w:val="00080EE0"/>
    <w:rsid w:val="00080F61"/>
    <w:rsid w:val="000824DB"/>
    <w:rsid w:val="00082A08"/>
    <w:rsid w:val="00084F75"/>
    <w:rsid w:val="00085D8D"/>
    <w:rsid w:val="000861AA"/>
    <w:rsid w:val="000875D3"/>
    <w:rsid w:val="00090B7E"/>
    <w:rsid w:val="000916C3"/>
    <w:rsid w:val="00092D4D"/>
    <w:rsid w:val="00095DC8"/>
    <w:rsid w:val="00096538"/>
    <w:rsid w:val="0009776D"/>
    <w:rsid w:val="000A145A"/>
    <w:rsid w:val="000A1A54"/>
    <w:rsid w:val="000A3338"/>
    <w:rsid w:val="000A6B40"/>
    <w:rsid w:val="000A7102"/>
    <w:rsid w:val="000B0004"/>
    <w:rsid w:val="000B04E3"/>
    <w:rsid w:val="000B0A5E"/>
    <w:rsid w:val="000B2526"/>
    <w:rsid w:val="000B25A6"/>
    <w:rsid w:val="000B2F82"/>
    <w:rsid w:val="000B3B81"/>
    <w:rsid w:val="000B4A17"/>
    <w:rsid w:val="000B6857"/>
    <w:rsid w:val="000B6EEA"/>
    <w:rsid w:val="000B7C7A"/>
    <w:rsid w:val="000C111C"/>
    <w:rsid w:val="000C1846"/>
    <w:rsid w:val="000C27E7"/>
    <w:rsid w:val="000C367A"/>
    <w:rsid w:val="000C377B"/>
    <w:rsid w:val="000C4145"/>
    <w:rsid w:val="000C453C"/>
    <w:rsid w:val="000C4A65"/>
    <w:rsid w:val="000C5783"/>
    <w:rsid w:val="000C647F"/>
    <w:rsid w:val="000C6718"/>
    <w:rsid w:val="000C6E57"/>
    <w:rsid w:val="000C74FA"/>
    <w:rsid w:val="000D0B32"/>
    <w:rsid w:val="000D3875"/>
    <w:rsid w:val="000D447C"/>
    <w:rsid w:val="000D61AE"/>
    <w:rsid w:val="000D6D85"/>
    <w:rsid w:val="000E1C6E"/>
    <w:rsid w:val="000E2544"/>
    <w:rsid w:val="000E2564"/>
    <w:rsid w:val="000E257D"/>
    <w:rsid w:val="000E3830"/>
    <w:rsid w:val="000E4E8B"/>
    <w:rsid w:val="000E4EBC"/>
    <w:rsid w:val="000E5104"/>
    <w:rsid w:val="000E5BFC"/>
    <w:rsid w:val="000E6733"/>
    <w:rsid w:val="000E77C1"/>
    <w:rsid w:val="000E7904"/>
    <w:rsid w:val="000E7A62"/>
    <w:rsid w:val="000E7F91"/>
    <w:rsid w:val="000F09F0"/>
    <w:rsid w:val="000F1326"/>
    <w:rsid w:val="000F3719"/>
    <w:rsid w:val="000F403D"/>
    <w:rsid w:val="000F55C3"/>
    <w:rsid w:val="000F5BD5"/>
    <w:rsid w:val="000F67F9"/>
    <w:rsid w:val="000F6C38"/>
    <w:rsid w:val="000F74ED"/>
    <w:rsid w:val="00100013"/>
    <w:rsid w:val="00105191"/>
    <w:rsid w:val="001052B0"/>
    <w:rsid w:val="00105E47"/>
    <w:rsid w:val="00107095"/>
    <w:rsid w:val="00107968"/>
    <w:rsid w:val="00110820"/>
    <w:rsid w:val="00112FB7"/>
    <w:rsid w:val="001155D7"/>
    <w:rsid w:val="00123AFF"/>
    <w:rsid w:val="0012401D"/>
    <w:rsid w:val="00124587"/>
    <w:rsid w:val="00126E25"/>
    <w:rsid w:val="00131851"/>
    <w:rsid w:val="00131A14"/>
    <w:rsid w:val="00133325"/>
    <w:rsid w:val="001342DF"/>
    <w:rsid w:val="00134CB3"/>
    <w:rsid w:val="0013691B"/>
    <w:rsid w:val="00137E99"/>
    <w:rsid w:val="001407B9"/>
    <w:rsid w:val="00141702"/>
    <w:rsid w:val="001417B4"/>
    <w:rsid w:val="00143BA6"/>
    <w:rsid w:val="00146119"/>
    <w:rsid w:val="00147DD4"/>
    <w:rsid w:val="00151A3B"/>
    <w:rsid w:val="001526C6"/>
    <w:rsid w:val="0015388D"/>
    <w:rsid w:val="00153B88"/>
    <w:rsid w:val="001540E2"/>
    <w:rsid w:val="00156CF9"/>
    <w:rsid w:val="0016114E"/>
    <w:rsid w:val="001619B3"/>
    <w:rsid w:val="00167525"/>
    <w:rsid w:val="0017085E"/>
    <w:rsid w:val="00171C99"/>
    <w:rsid w:val="00172019"/>
    <w:rsid w:val="00172A9E"/>
    <w:rsid w:val="00173817"/>
    <w:rsid w:val="00173B25"/>
    <w:rsid w:val="0017505D"/>
    <w:rsid w:val="00175C83"/>
    <w:rsid w:val="0017600E"/>
    <w:rsid w:val="00181C01"/>
    <w:rsid w:val="0018557F"/>
    <w:rsid w:val="00185BA7"/>
    <w:rsid w:val="001863C5"/>
    <w:rsid w:val="00187E3E"/>
    <w:rsid w:val="001904E9"/>
    <w:rsid w:val="0019356E"/>
    <w:rsid w:val="00193972"/>
    <w:rsid w:val="00193D68"/>
    <w:rsid w:val="00193F3B"/>
    <w:rsid w:val="00194445"/>
    <w:rsid w:val="0019513D"/>
    <w:rsid w:val="00195ACF"/>
    <w:rsid w:val="00196B6F"/>
    <w:rsid w:val="00196C55"/>
    <w:rsid w:val="00197AE7"/>
    <w:rsid w:val="001A1211"/>
    <w:rsid w:val="001A382A"/>
    <w:rsid w:val="001B2C2F"/>
    <w:rsid w:val="001B49B8"/>
    <w:rsid w:val="001B4B9B"/>
    <w:rsid w:val="001B4BE1"/>
    <w:rsid w:val="001B4CC6"/>
    <w:rsid w:val="001B4EE7"/>
    <w:rsid w:val="001B52C3"/>
    <w:rsid w:val="001B6BDB"/>
    <w:rsid w:val="001B7DE0"/>
    <w:rsid w:val="001C06CF"/>
    <w:rsid w:val="001C2254"/>
    <w:rsid w:val="001C3BEB"/>
    <w:rsid w:val="001C3DD1"/>
    <w:rsid w:val="001C42A1"/>
    <w:rsid w:val="001C4A0C"/>
    <w:rsid w:val="001C4F53"/>
    <w:rsid w:val="001C77FB"/>
    <w:rsid w:val="001D0181"/>
    <w:rsid w:val="001D3FBB"/>
    <w:rsid w:val="001D6F94"/>
    <w:rsid w:val="001E0D53"/>
    <w:rsid w:val="001E151D"/>
    <w:rsid w:val="001E2926"/>
    <w:rsid w:val="001E433A"/>
    <w:rsid w:val="001E4BEC"/>
    <w:rsid w:val="001E5FE7"/>
    <w:rsid w:val="001E74E7"/>
    <w:rsid w:val="001F066D"/>
    <w:rsid w:val="001F146B"/>
    <w:rsid w:val="001F3269"/>
    <w:rsid w:val="001F36AD"/>
    <w:rsid w:val="001F3BE7"/>
    <w:rsid w:val="001F5C3C"/>
    <w:rsid w:val="001F5D71"/>
    <w:rsid w:val="001F7AA0"/>
    <w:rsid w:val="0020203C"/>
    <w:rsid w:val="00203219"/>
    <w:rsid w:val="0020377F"/>
    <w:rsid w:val="00203A93"/>
    <w:rsid w:val="002048DB"/>
    <w:rsid w:val="00204ECB"/>
    <w:rsid w:val="00206A4C"/>
    <w:rsid w:val="00206BA8"/>
    <w:rsid w:val="00211FE4"/>
    <w:rsid w:val="002128B9"/>
    <w:rsid w:val="002137C2"/>
    <w:rsid w:val="00214A4D"/>
    <w:rsid w:val="00215309"/>
    <w:rsid w:val="00216AC3"/>
    <w:rsid w:val="00220E0D"/>
    <w:rsid w:val="00222280"/>
    <w:rsid w:val="002234D1"/>
    <w:rsid w:val="002242C9"/>
    <w:rsid w:val="002251B5"/>
    <w:rsid w:val="0022571E"/>
    <w:rsid w:val="00226B41"/>
    <w:rsid w:val="0022705A"/>
    <w:rsid w:val="0023031E"/>
    <w:rsid w:val="00230680"/>
    <w:rsid w:val="002306C1"/>
    <w:rsid w:val="002307F4"/>
    <w:rsid w:val="00230D69"/>
    <w:rsid w:val="00231C5B"/>
    <w:rsid w:val="00231CA6"/>
    <w:rsid w:val="00232CD8"/>
    <w:rsid w:val="00233EAC"/>
    <w:rsid w:val="00235BB3"/>
    <w:rsid w:val="00235CA2"/>
    <w:rsid w:val="00235EB7"/>
    <w:rsid w:val="00236822"/>
    <w:rsid w:val="002368D8"/>
    <w:rsid w:val="0024020E"/>
    <w:rsid w:val="00244577"/>
    <w:rsid w:val="0024579D"/>
    <w:rsid w:val="00250AD1"/>
    <w:rsid w:val="002520FC"/>
    <w:rsid w:val="00252E0D"/>
    <w:rsid w:val="0025351E"/>
    <w:rsid w:val="00254759"/>
    <w:rsid w:val="00254D2F"/>
    <w:rsid w:val="00255C18"/>
    <w:rsid w:val="00255F28"/>
    <w:rsid w:val="00266AEC"/>
    <w:rsid w:val="002673B1"/>
    <w:rsid w:val="00267D16"/>
    <w:rsid w:val="0027032B"/>
    <w:rsid w:val="0027079A"/>
    <w:rsid w:val="00270EF3"/>
    <w:rsid w:val="0027163F"/>
    <w:rsid w:val="00272ADE"/>
    <w:rsid w:val="00276608"/>
    <w:rsid w:val="002769B7"/>
    <w:rsid w:val="002803CE"/>
    <w:rsid w:val="00280403"/>
    <w:rsid w:val="00280814"/>
    <w:rsid w:val="002809EB"/>
    <w:rsid w:val="00281515"/>
    <w:rsid w:val="00281B38"/>
    <w:rsid w:val="00281B6C"/>
    <w:rsid w:val="00284808"/>
    <w:rsid w:val="00286387"/>
    <w:rsid w:val="002865C3"/>
    <w:rsid w:val="00286991"/>
    <w:rsid w:val="002873C8"/>
    <w:rsid w:val="00290EF3"/>
    <w:rsid w:val="00292BF2"/>
    <w:rsid w:val="002938CB"/>
    <w:rsid w:val="00293B87"/>
    <w:rsid w:val="002962CC"/>
    <w:rsid w:val="0029796C"/>
    <w:rsid w:val="002A05B4"/>
    <w:rsid w:val="002A1344"/>
    <w:rsid w:val="002A15E6"/>
    <w:rsid w:val="002A1D61"/>
    <w:rsid w:val="002A4684"/>
    <w:rsid w:val="002A506E"/>
    <w:rsid w:val="002A5B89"/>
    <w:rsid w:val="002A677E"/>
    <w:rsid w:val="002A6796"/>
    <w:rsid w:val="002A72DB"/>
    <w:rsid w:val="002A74F3"/>
    <w:rsid w:val="002A7635"/>
    <w:rsid w:val="002A79E1"/>
    <w:rsid w:val="002A7BFC"/>
    <w:rsid w:val="002B07E9"/>
    <w:rsid w:val="002B0F35"/>
    <w:rsid w:val="002B2F80"/>
    <w:rsid w:val="002B3277"/>
    <w:rsid w:val="002B329C"/>
    <w:rsid w:val="002B589C"/>
    <w:rsid w:val="002B603E"/>
    <w:rsid w:val="002B6C94"/>
    <w:rsid w:val="002B745E"/>
    <w:rsid w:val="002B7FAB"/>
    <w:rsid w:val="002C0169"/>
    <w:rsid w:val="002C1521"/>
    <w:rsid w:val="002C35FE"/>
    <w:rsid w:val="002C3CDA"/>
    <w:rsid w:val="002C3CEB"/>
    <w:rsid w:val="002C4C24"/>
    <w:rsid w:val="002C5494"/>
    <w:rsid w:val="002C73A6"/>
    <w:rsid w:val="002D0EC2"/>
    <w:rsid w:val="002D1C63"/>
    <w:rsid w:val="002D2E13"/>
    <w:rsid w:val="002D31CB"/>
    <w:rsid w:val="002D3C7E"/>
    <w:rsid w:val="002D4A1E"/>
    <w:rsid w:val="002E131A"/>
    <w:rsid w:val="002E17EC"/>
    <w:rsid w:val="002E2513"/>
    <w:rsid w:val="002E353B"/>
    <w:rsid w:val="002E4BAA"/>
    <w:rsid w:val="002E4CBA"/>
    <w:rsid w:val="002E4FBD"/>
    <w:rsid w:val="002E51C0"/>
    <w:rsid w:val="002E5E0D"/>
    <w:rsid w:val="002E7AA7"/>
    <w:rsid w:val="002F10A1"/>
    <w:rsid w:val="002F23B7"/>
    <w:rsid w:val="002F2F7C"/>
    <w:rsid w:val="002F3609"/>
    <w:rsid w:val="002F3F65"/>
    <w:rsid w:val="002F44D7"/>
    <w:rsid w:val="002F57E7"/>
    <w:rsid w:val="002F5A60"/>
    <w:rsid w:val="002F6CF4"/>
    <w:rsid w:val="002F7EEC"/>
    <w:rsid w:val="00302F36"/>
    <w:rsid w:val="003035BB"/>
    <w:rsid w:val="00303F18"/>
    <w:rsid w:val="003040A8"/>
    <w:rsid w:val="00304EA1"/>
    <w:rsid w:val="00304EE8"/>
    <w:rsid w:val="00306FB8"/>
    <w:rsid w:val="003073C7"/>
    <w:rsid w:val="00307BF2"/>
    <w:rsid w:val="003122A9"/>
    <w:rsid w:val="00313C06"/>
    <w:rsid w:val="00313D6E"/>
    <w:rsid w:val="00314800"/>
    <w:rsid w:val="00315BCF"/>
    <w:rsid w:val="00315C60"/>
    <w:rsid w:val="003162BA"/>
    <w:rsid w:val="00316CF0"/>
    <w:rsid w:val="00320418"/>
    <w:rsid w:val="003211C2"/>
    <w:rsid w:val="00322488"/>
    <w:rsid w:val="0032409B"/>
    <w:rsid w:val="003276AB"/>
    <w:rsid w:val="003301BE"/>
    <w:rsid w:val="0033082E"/>
    <w:rsid w:val="00331A9F"/>
    <w:rsid w:val="003325B7"/>
    <w:rsid w:val="0033471D"/>
    <w:rsid w:val="00336B84"/>
    <w:rsid w:val="00341B45"/>
    <w:rsid w:val="00341E09"/>
    <w:rsid w:val="00342071"/>
    <w:rsid w:val="0034227C"/>
    <w:rsid w:val="00342E38"/>
    <w:rsid w:val="003440ED"/>
    <w:rsid w:val="003461C7"/>
    <w:rsid w:val="00350B5F"/>
    <w:rsid w:val="00351972"/>
    <w:rsid w:val="00356FF1"/>
    <w:rsid w:val="00357159"/>
    <w:rsid w:val="00357E34"/>
    <w:rsid w:val="003629F4"/>
    <w:rsid w:val="00364326"/>
    <w:rsid w:val="00364810"/>
    <w:rsid w:val="00365360"/>
    <w:rsid w:val="003671B8"/>
    <w:rsid w:val="003672E8"/>
    <w:rsid w:val="003705BA"/>
    <w:rsid w:val="00373A71"/>
    <w:rsid w:val="0037522B"/>
    <w:rsid w:val="00377DE2"/>
    <w:rsid w:val="00381758"/>
    <w:rsid w:val="00381FBB"/>
    <w:rsid w:val="00382B34"/>
    <w:rsid w:val="0038486D"/>
    <w:rsid w:val="003849F0"/>
    <w:rsid w:val="00385CA9"/>
    <w:rsid w:val="0039052D"/>
    <w:rsid w:val="00390EA4"/>
    <w:rsid w:val="0039193E"/>
    <w:rsid w:val="003939DA"/>
    <w:rsid w:val="00395135"/>
    <w:rsid w:val="003A0F8A"/>
    <w:rsid w:val="003A1F32"/>
    <w:rsid w:val="003A2E24"/>
    <w:rsid w:val="003A3914"/>
    <w:rsid w:val="003A5576"/>
    <w:rsid w:val="003A5EB1"/>
    <w:rsid w:val="003A6EE3"/>
    <w:rsid w:val="003A71A0"/>
    <w:rsid w:val="003A7307"/>
    <w:rsid w:val="003A76B4"/>
    <w:rsid w:val="003A79C4"/>
    <w:rsid w:val="003B09C8"/>
    <w:rsid w:val="003B0D02"/>
    <w:rsid w:val="003B19BC"/>
    <w:rsid w:val="003B2DAA"/>
    <w:rsid w:val="003B4BD9"/>
    <w:rsid w:val="003B4F1C"/>
    <w:rsid w:val="003C10DA"/>
    <w:rsid w:val="003C1436"/>
    <w:rsid w:val="003C1B00"/>
    <w:rsid w:val="003C1E67"/>
    <w:rsid w:val="003C2CD9"/>
    <w:rsid w:val="003C2F16"/>
    <w:rsid w:val="003C3476"/>
    <w:rsid w:val="003C454B"/>
    <w:rsid w:val="003C4DF7"/>
    <w:rsid w:val="003C5187"/>
    <w:rsid w:val="003C5598"/>
    <w:rsid w:val="003C7910"/>
    <w:rsid w:val="003C7B23"/>
    <w:rsid w:val="003D075C"/>
    <w:rsid w:val="003D4795"/>
    <w:rsid w:val="003D64DD"/>
    <w:rsid w:val="003D6A5B"/>
    <w:rsid w:val="003D70F4"/>
    <w:rsid w:val="003D767C"/>
    <w:rsid w:val="003E10C8"/>
    <w:rsid w:val="003E41BD"/>
    <w:rsid w:val="003E4E1F"/>
    <w:rsid w:val="003E52CD"/>
    <w:rsid w:val="003E5DCA"/>
    <w:rsid w:val="003E794F"/>
    <w:rsid w:val="003F167F"/>
    <w:rsid w:val="003F1D97"/>
    <w:rsid w:val="003F2658"/>
    <w:rsid w:val="003F4F26"/>
    <w:rsid w:val="003F704F"/>
    <w:rsid w:val="00401BAE"/>
    <w:rsid w:val="00402241"/>
    <w:rsid w:val="00403DA5"/>
    <w:rsid w:val="00404332"/>
    <w:rsid w:val="004044B1"/>
    <w:rsid w:val="00406B57"/>
    <w:rsid w:val="004070BB"/>
    <w:rsid w:val="00410AD8"/>
    <w:rsid w:val="0041180C"/>
    <w:rsid w:val="004121FF"/>
    <w:rsid w:val="004130FC"/>
    <w:rsid w:val="00413D25"/>
    <w:rsid w:val="00414D0F"/>
    <w:rsid w:val="00415BC1"/>
    <w:rsid w:val="00416B92"/>
    <w:rsid w:val="004205AC"/>
    <w:rsid w:val="00421004"/>
    <w:rsid w:val="00421711"/>
    <w:rsid w:val="00422803"/>
    <w:rsid w:val="00423DE9"/>
    <w:rsid w:val="00424998"/>
    <w:rsid w:val="00424E95"/>
    <w:rsid w:val="0042570E"/>
    <w:rsid w:val="00425DE1"/>
    <w:rsid w:val="00425F66"/>
    <w:rsid w:val="00426FC4"/>
    <w:rsid w:val="0043061C"/>
    <w:rsid w:val="004345DC"/>
    <w:rsid w:val="0043699F"/>
    <w:rsid w:val="00437468"/>
    <w:rsid w:val="00437DC3"/>
    <w:rsid w:val="00440F35"/>
    <w:rsid w:val="0044115C"/>
    <w:rsid w:val="004431F4"/>
    <w:rsid w:val="00444F31"/>
    <w:rsid w:val="0044532F"/>
    <w:rsid w:val="004456B9"/>
    <w:rsid w:val="004476BB"/>
    <w:rsid w:val="00450524"/>
    <w:rsid w:val="004512DE"/>
    <w:rsid w:val="00451CBE"/>
    <w:rsid w:val="0045345B"/>
    <w:rsid w:val="00453C7D"/>
    <w:rsid w:val="004544A8"/>
    <w:rsid w:val="004544BB"/>
    <w:rsid w:val="004551D2"/>
    <w:rsid w:val="004568EA"/>
    <w:rsid w:val="00456AC4"/>
    <w:rsid w:val="00457FEC"/>
    <w:rsid w:val="00460061"/>
    <w:rsid w:val="00460366"/>
    <w:rsid w:val="004610E3"/>
    <w:rsid w:val="004614FA"/>
    <w:rsid w:val="00464F55"/>
    <w:rsid w:val="0046632F"/>
    <w:rsid w:val="00471A54"/>
    <w:rsid w:val="00472475"/>
    <w:rsid w:val="00473370"/>
    <w:rsid w:val="00474FC8"/>
    <w:rsid w:val="004752FD"/>
    <w:rsid w:val="00477290"/>
    <w:rsid w:val="004807FB"/>
    <w:rsid w:val="00481AE1"/>
    <w:rsid w:val="00485066"/>
    <w:rsid w:val="004850E1"/>
    <w:rsid w:val="0048543C"/>
    <w:rsid w:val="0048575A"/>
    <w:rsid w:val="00487844"/>
    <w:rsid w:val="00490205"/>
    <w:rsid w:val="004920C4"/>
    <w:rsid w:val="00492EE9"/>
    <w:rsid w:val="004951D8"/>
    <w:rsid w:val="00496184"/>
    <w:rsid w:val="00496518"/>
    <w:rsid w:val="004A103D"/>
    <w:rsid w:val="004A2FF8"/>
    <w:rsid w:val="004A626D"/>
    <w:rsid w:val="004A7723"/>
    <w:rsid w:val="004B1905"/>
    <w:rsid w:val="004B3E9F"/>
    <w:rsid w:val="004B4B2F"/>
    <w:rsid w:val="004B4C1B"/>
    <w:rsid w:val="004B4CF8"/>
    <w:rsid w:val="004B50E0"/>
    <w:rsid w:val="004B567E"/>
    <w:rsid w:val="004B65E0"/>
    <w:rsid w:val="004C0B6E"/>
    <w:rsid w:val="004C1522"/>
    <w:rsid w:val="004C30D8"/>
    <w:rsid w:val="004C3906"/>
    <w:rsid w:val="004C447E"/>
    <w:rsid w:val="004C5D70"/>
    <w:rsid w:val="004C6750"/>
    <w:rsid w:val="004C6CE6"/>
    <w:rsid w:val="004C6EBC"/>
    <w:rsid w:val="004C7AD4"/>
    <w:rsid w:val="004D0212"/>
    <w:rsid w:val="004D08D4"/>
    <w:rsid w:val="004D0D5B"/>
    <w:rsid w:val="004D21CA"/>
    <w:rsid w:val="004D2213"/>
    <w:rsid w:val="004D2A15"/>
    <w:rsid w:val="004D4827"/>
    <w:rsid w:val="004E1C7A"/>
    <w:rsid w:val="004E4290"/>
    <w:rsid w:val="004E5881"/>
    <w:rsid w:val="004E7FC0"/>
    <w:rsid w:val="004F02F2"/>
    <w:rsid w:val="004F1255"/>
    <w:rsid w:val="004F1345"/>
    <w:rsid w:val="004F17D4"/>
    <w:rsid w:val="004F2E1A"/>
    <w:rsid w:val="004F3269"/>
    <w:rsid w:val="004F483F"/>
    <w:rsid w:val="004F509E"/>
    <w:rsid w:val="004F750D"/>
    <w:rsid w:val="005010EE"/>
    <w:rsid w:val="005022FF"/>
    <w:rsid w:val="00502993"/>
    <w:rsid w:val="0050381B"/>
    <w:rsid w:val="00504573"/>
    <w:rsid w:val="00506BBC"/>
    <w:rsid w:val="00507AC0"/>
    <w:rsid w:val="00513DDC"/>
    <w:rsid w:val="005147D1"/>
    <w:rsid w:val="00515207"/>
    <w:rsid w:val="00515476"/>
    <w:rsid w:val="00515F88"/>
    <w:rsid w:val="00516FA6"/>
    <w:rsid w:val="0052064F"/>
    <w:rsid w:val="005209C6"/>
    <w:rsid w:val="00520F5A"/>
    <w:rsid w:val="00530A39"/>
    <w:rsid w:val="00531873"/>
    <w:rsid w:val="00532812"/>
    <w:rsid w:val="005339C7"/>
    <w:rsid w:val="0053507E"/>
    <w:rsid w:val="005360B5"/>
    <w:rsid w:val="005377B6"/>
    <w:rsid w:val="0053784E"/>
    <w:rsid w:val="0054033C"/>
    <w:rsid w:val="005422B6"/>
    <w:rsid w:val="00542B8F"/>
    <w:rsid w:val="005432BD"/>
    <w:rsid w:val="00543952"/>
    <w:rsid w:val="005441EB"/>
    <w:rsid w:val="00546000"/>
    <w:rsid w:val="00550DBF"/>
    <w:rsid w:val="005517DC"/>
    <w:rsid w:val="00553321"/>
    <w:rsid w:val="00554E97"/>
    <w:rsid w:val="0055523F"/>
    <w:rsid w:val="00556759"/>
    <w:rsid w:val="00556795"/>
    <w:rsid w:val="00556F0C"/>
    <w:rsid w:val="005578E8"/>
    <w:rsid w:val="00557984"/>
    <w:rsid w:val="00560074"/>
    <w:rsid w:val="00560096"/>
    <w:rsid w:val="00560302"/>
    <w:rsid w:val="00562B3D"/>
    <w:rsid w:val="005659E0"/>
    <w:rsid w:val="00565C36"/>
    <w:rsid w:val="00566D08"/>
    <w:rsid w:val="005713F5"/>
    <w:rsid w:val="005718AC"/>
    <w:rsid w:val="00572198"/>
    <w:rsid w:val="005725D3"/>
    <w:rsid w:val="00572DAE"/>
    <w:rsid w:val="0057407D"/>
    <w:rsid w:val="005755EA"/>
    <w:rsid w:val="00576254"/>
    <w:rsid w:val="0058031E"/>
    <w:rsid w:val="00581CCB"/>
    <w:rsid w:val="00581D39"/>
    <w:rsid w:val="0058415B"/>
    <w:rsid w:val="0058495D"/>
    <w:rsid w:val="00591596"/>
    <w:rsid w:val="005919A2"/>
    <w:rsid w:val="00592CD8"/>
    <w:rsid w:val="005934BD"/>
    <w:rsid w:val="005936BC"/>
    <w:rsid w:val="0059650E"/>
    <w:rsid w:val="00597DC0"/>
    <w:rsid w:val="005A02BE"/>
    <w:rsid w:val="005A232B"/>
    <w:rsid w:val="005A32E0"/>
    <w:rsid w:val="005A416E"/>
    <w:rsid w:val="005A4F46"/>
    <w:rsid w:val="005A5CC5"/>
    <w:rsid w:val="005A6B19"/>
    <w:rsid w:val="005A7482"/>
    <w:rsid w:val="005A75E9"/>
    <w:rsid w:val="005A7DE2"/>
    <w:rsid w:val="005B03D1"/>
    <w:rsid w:val="005B09EA"/>
    <w:rsid w:val="005B13C4"/>
    <w:rsid w:val="005B4363"/>
    <w:rsid w:val="005B548D"/>
    <w:rsid w:val="005B5709"/>
    <w:rsid w:val="005B5740"/>
    <w:rsid w:val="005B7237"/>
    <w:rsid w:val="005C1F4D"/>
    <w:rsid w:val="005C2645"/>
    <w:rsid w:val="005C293E"/>
    <w:rsid w:val="005C3130"/>
    <w:rsid w:val="005C4374"/>
    <w:rsid w:val="005C4C3E"/>
    <w:rsid w:val="005C5117"/>
    <w:rsid w:val="005C7393"/>
    <w:rsid w:val="005D02D2"/>
    <w:rsid w:val="005D2037"/>
    <w:rsid w:val="005D2909"/>
    <w:rsid w:val="005D3426"/>
    <w:rsid w:val="005D402E"/>
    <w:rsid w:val="005D52EF"/>
    <w:rsid w:val="005D5C5E"/>
    <w:rsid w:val="005D63AE"/>
    <w:rsid w:val="005D7576"/>
    <w:rsid w:val="005D7ECD"/>
    <w:rsid w:val="005E0753"/>
    <w:rsid w:val="005E0AB3"/>
    <w:rsid w:val="005E0F31"/>
    <w:rsid w:val="005E1F64"/>
    <w:rsid w:val="005E3205"/>
    <w:rsid w:val="005E467A"/>
    <w:rsid w:val="005E5FD8"/>
    <w:rsid w:val="005E6229"/>
    <w:rsid w:val="005F0648"/>
    <w:rsid w:val="005F0654"/>
    <w:rsid w:val="005F24F9"/>
    <w:rsid w:val="005F315A"/>
    <w:rsid w:val="005F3DF0"/>
    <w:rsid w:val="005F4B82"/>
    <w:rsid w:val="005F6B90"/>
    <w:rsid w:val="005F6D34"/>
    <w:rsid w:val="005F776E"/>
    <w:rsid w:val="0060064A"/>
    <w:rsid w:val="00603AC0"/>
    <w:rsid w:val="00603FAD"/>
    <w:rsid w:val="00605771"/>
    <w:rsid w:val="00607664"/>
    <w:rsid w:val="00610AD8"/>
    <w:rsid w:val="0061267C"/>
    <w:rsid w:val="006145F2"/>
    <w:rsid w:val="00615C98"/>
    <w:rsid w:val="00615E40"/>
    <w:rsid w:val="00620CCF"/>
    <w:rsid w:val="006211D0"/>
    <w:rsid w:val="00622BC0"/>
    <w:rsid w:val="00622D6C"/>
    <w:rsid w:val="006253D6"/>
    <w:rsid w:val="006254A4"/>
    <w:rsid w:val="00627815"/>
    <w:rsid w:val="00633BD8"/>
    <w:rsid w:val="00634219"/>
    <w:rsid w:val="0063467F"/>
    <w:rsid w:val="0064007D"/>
    <w:rsid w:val="00640C22"/>
    <w:rsid w:val="006412BA"/>
    <w:rsid w:val="0064175F"/>
    <w:rsid w:val="006421E3"/>
    <w:rsid w:val="00642473"/>
    <w:rsid w:val="00643248"/>
    <w:rsid w:val="00644ADF"/>
    <w:rsid w:val="00644BF5"/>
    <w:rsid w:val="00644D78"/>
    <w:rsid w:val="0064597B"/>
    <w:rsid w:val="00645B4C"/>
    <w:rsid w:val="00647855"/>
    <w:rsid w:val="00647EC6"/>
    <w:rsid w:val="0065163A"/>
    <w:rsid w:val="00651AFC"/>
    <w:rsid w:val="00651EBA"/>
    <w:rsid w:val="006531DD"/>
    <w:rsid w:val="006533BD"/>
    <w:rsid w:val="00653556"/>
    <w:rsid w:val="00653FC9"/>
    <w:rsid w:val="00654834"/>
    <w:rsid w:val="00654E63"/>
    <w:rsid w:val="00655424"/>
    <w:rsid w:val="006556BC"/>
    <w:rsid w:val="006603FF"/>
    <w:rsid w:val="00661AFA"/>
    <w:rsid w:val="00661CE1"/>
    <w:rsid w:val="006638E4"/>
    <w:rsid w:val="00667DF0"/>
    <w:rsid w:val="006703FF"/>
    <w:rsid w:val="006715A0"/>
    <w:rsid w:val="00672B5C"/>
    <w:rsid w:val="00673318"/>
    <w:rsid w:val="00673D5D"/>
    <w:rsid w:val="006744F6"/>
    <w:rsid w:val="0067451E"/>
    <w:rsid w:val="00675C66"/>
    <w:rsid w:val="00680AA8"/>
    <w:rsid w:val="00680D2E"/>
    <w:rsid w:val="00680EFD"/>
    <w:rsid w:val="00680F4E"/>
    <w:rsid w:val="00681ABF"/>
    <w:rsid w:val="00682891"/>
    <w:rsid w:val="00682DA4"/>
    <w:rsid w:val="006854A2"/>
    <w:rsid w:val="00691D78"/>
    <w:rsid w:val="00692717"/>
    <w:rsid w:val="006928DF"/>
    <w:rsid w:val="006939E9"/>
    <w:rsid w:val="0069464A"/>
    <w:rsid w:val="00697963"/>
    <w:rsid w:val="006A110C"/>
    <w:rsid w:val="006A4A64"/>
    <w:rsid w:val="006A5971"/>
    <w:rsid w:val="006A64BD"/>
    <w:rsid w:val="006A79A4"/>
    <w:rsid w:val="006B2A98"/>
    <w:rsid w:val="006B2E0B"/>
    <w:rsid w:val="006B50F2"/>
    <w:rsid w:val="006B5836"/>
    <w:rsid w:val="006B6EFC"/>
    <w:rsid w:val="006C01B0"/>
    <w:rsid w:val="006C114D"/>
    <w:rsid w:val="006C1655"/>
    <w:rsid w:val="006C6547"/>
    <w:rsid w:val="006C7453"/>
    <w:rsid w:val="006D0956"/>
    <w:rsid w:val="006D27B2"/>
    <w:rsid w:val="006D3AB9"/>
    <w:rsid w:val="006D65C9"/>
    <w:rsid w:val="006D7337"/>
    <w:rsid w:val="006D7841"/>
    <w:rsid w:val="006D7EAB"/>
    <w:rsid w:val="006E0942"/>
    <w:rsid w:val="006E0BA9"/>
    <w:rsid w:val="006E10F9"/>
    <w:rsid w:val="006E3D54"/>
    <w:rsid w:val="006E4D18"/>
    <w:rsid w:val="006E51AB"/>
    <w:rsid w:val="006E6446"/>
    <w:rsid w:val="006E6875"/>
    <w:rsid w:val="006E7C05"/>
    <w:rsid w:val="006F0263"/>
    <w:rsid w:val="006F0801"/>
    <w:rsid w:val="006F0B1D"/>
    <w:rsid w:val="006F2E55"/>
    <w:rsid w:val="006F5B31"/>
    <w:rsid w:val="006F6400"/>
    <w:rsid w:val="006F6940"/>
    <w:rsid w:val="00700A4E"/>
    <w:rsid w:val="0070150C"/>
    <w:rsid w:val="0070262D"/>
    <w:rsid w:val="007043C7"/>
    <w:rsid w:val="00706746"/>
    <w:rsid w:val="00707097"/>
    <w:rsid w:val="00710A12"/>
    <w:rsid w:val="00710BB5"/>
    <w:rsid w:val="00710EB5"/>
    <w:rsid w:val="0071474D"/>
    <w:rsid w:val="00715E05"/>
    <w:rsid w:val="00720B79"/>
    <w:rsid w:val="0072189B"/>
    <w:rsid w:val="007232DB"/>
    <w:rsid w:val="007265A3"/>
    <w:rsid w:val="007324F1"/>
    <w:rsid w:val="007346DA"/>
    <w:rsid w:val="007361D6"/>
    <w:rsid w:val="007418FD"/>
    <w:rsid w:val="00744405"/>
    <w:rsid w:val="007447B4"/>
    <w:rsid w:val="00746108"/>
    <w:rsid w:val="00746E0C"/>
    <w:rsid w:val="007501BD"/>
    <w:rsid w:val="007507A8"/>
    <w:rsid w:val="00750CA9"/>
    <w:rsid w:val="0075151D"/>
    <w:rsid w:val="007524CE"/>
    <w:rsid w:val="00752DFC"/>
    <w:rsid w:val="007543E4"/>
    <w:rsid w:val="00756D32"/>
    <w:rsid w:val="0075707F"/>
    <w:rsid w:val="00760AF4"/>
    <w:rsid w:val="00761126"/>
    <w:rsid w:val="00761278"/>
    <w:rsid w:val="00763107"/>
    <w:rsid w:val="0076569C"/>
    <w:rsid w:val="00765D50"/>
    <w:rsid w:val="007662E4"/>
    <w:rsid w:val="00766490"/>
    <w:rsid w:val="00766C4E"/>
    <w:rsid w:val="00766D19"/>
    <w:rsid w:val="0076727A"/>
    <w:rsid w:val="007676C0"/>
    <w:rsid w:val="00767B03"/>
    <w:rsid w:val="00770955"/>
    <w:rsid w:val="00772384"/>
    <w:rsid w:val="00772524"/>
    <w:rsid w:val="00772734"/>
    <w:rsid w:val="00773FD6"/>
    <w:rsid w:val="00774C5A"/>
    <w:rsid w:val="007751BD"/>
    <w:rsid w:val="00776BC0"/>
    <w:rsid w:val="00777F1D"/>
    <w:rsid w:val="00777F70"/>
    <w:rsid w:val="00783D62"/>
    <w:rsid w:val="00785E61"/>
    <w:rsid w:val="00786DDE"/>
    <w:rsid w:val="00787F35"/>
    <w:rsid w:val="0079089F"/>
    <w:rsid w:val="00791F23"/>
    <w:rsid w:val="00791FD7"/>
    <w:rsid w:val="0079395E"/>
    <w:rsid w:val="00794CE6"/>
    <w:rsid w:val="00795A51"/>
    <w:rsid w:val="00797B90"/>
    <w:rsid w:val="007A0F0B"/>
    <w:rsid w:val="007A2EA0"/>
    <w:rsid w:val="007A4218"/>
    <w:rsid w:val="007A59CE"/>
    <w:rsid w:val="007A5D57"/>
    <w:rsid w:val="007B0B7A"/>
    <w:rsid w:val="007B19A7"/>
    <w:rsid w:val="007B2A06"/>
    <w:rsid w:val="007B37C1"/>
    <w:rsid w:val="007B41DA"/>
    <w:rsid w:val="007B4F8C"/>
    <w:rsid w:val="007B5B88"/>
    <w:rsid w:val="007C0508"/>
    <w:rsid w:val="007C1062"/>
    <w:rsid w:val="007C1545"/>
    <w:rsid w:val="007C4A7F"/>
    <w:rsid w:val="007C72C8"/>
    <w:rsid w:val="007C7303"/>
    <w:rsid w:val="007D059B"/>
    <w:rsid w:val="007D1372"/>
    <w:rsid w:val="007D28FC"/>
    <w:rsid w:val="007D51B2"/>
    <w:rsid w:val="007D77D9"/>
    <w:rsid w:val="007E0555"/>
    <w:rsid w:val="007E2110"/>
    <w:rsid w:val="007E2CEB"/>
    <w:rsid w:val="007E33D2"/>
    <w:rsid w:val="007E35EB"/>
    <w:rsid w:val="007E42F2"/>
    <w:rsid w:val="007E758F"/>
    <w:rsid w:val="007F1274"/>
    <w:rsid w:val="007F213F"/>
    <w:rsid w:val="007F23B2"/>
    <w:rsid w:val="007F5FF6"/>
    <w:rsid w:val="007F6B31"/>
    <w:rsid w:val="007F6CC2"/>
    <w:rsid w:val="00800E62"/>
    <w:rsid w:val="00805279"/>
    <w:rsid w:val="00806742"/>
    <w:rsid w:val="008120F6"/>
    <w:rsid w:val="008123BB"/>
    <w:rsid w:val="008129C4"/>
    <w:rsid w:val="00813B03"/>
    <w:rsid w:val="0081410B"/>
    <w:rsid w:val="00815007"/>
    <w:rsid w:val="00815544"/>
    <w:rsid w:val="00815D39"/>
    <w:rsid w:val="008165DC"/>
    <w:rsid w:val="00816C3F"/>
    <w:rsid w:val="00817208"/>
    <w:rsid w:val="0082022A"/>
    <w:rsid w:val="0082143E"/>
    <w:rsid w:val="00822D0E"/>
    <w:rsid w:val="008235BE"/>
    <w:rsid w:val="00823A34"/>
    <w:rsid w:val="00824C2F"/>
    <w:rsid w:val="00825679"/>
    <w:rsid w:val="008343C2"/>
    <w:rsid w:val="0083462B"/>
    <w:rsid w:val="00834B6F"/>
    <w:rsid w:val="00835906"/>
    <w:rsid w:val="008361DB"/>
    <w:rsid w:val="00840764"/>
    <w:rsid w:val="00840FF6"/>
    <w:rsid w:val="008428EC"/>
    <w:rsid w:val="00842A92"/>
    <w:rsid w:val="00844368"/>
    <w:rsid w:val="00844CC0"/>
    <w:rsid w:val="0084648C"/>
    <w:rsid w:val="008514B0"/>
    <w:rsid w:val="00851B9B"/>
    <w:rsid w:val="00851BFB"/>
    <w:rsid w:val="00852C21"/>
    <w:rsid w:val="008567CC"/>
    <w:rsid w:val="00856EB2"/>
    <w:rsid w:val="00860209"/>
    <w:rsid w:val="008611F9"/>
    <w:rsid w:val="00861A97"/>
    <w:rsid w:val="00863224"/>
    <w:rsid w:val="008637F6"/>
    <w:rsid w:val="008646E2"/>
    <w:rsid w:val="008654B1"/>
    <w:rsid w:val="0086619D"/>
    <w:rsid w:val="008664A6"/>
    <w:rsid w:val="00866542"/>
    <w:rsid w:val="00866651"/>
    <w:rsid w:val="00867B9B"/>
    <w:rsid w:val="00870EA3"/>
    <w:rsid w:val="008713E4"/>
    <w:rsid w:val="00872771"/>
    <w:rsid w:val="00877086"/>
    <w:rsid w:val="008772F2"/>
    <w:rsid w:val="00877452"/>
    <w:rsid w:val="008774A1"/>
    <w:rsid w:val="00880C3E"/>
    <w:rsid w:val="00882FC6"/>
    <w:rsid w:val="00883367"/>
    <w:rsid w:val="0088700A"/>
    <w:rsid w:val="0088739C"/>
    <w:rsid w:val="0089117B"/>
    <w:rsid w:val="00896293"/>
    <w:rsid w:val="00896E68"/>
    <w:rsid w:val="008A22E1"/>
    <w:rsid w:val="008A2F57"/>
    <w:rsid w:val="008A451F"/>
    <w:rsid w:val="008A4989"/>
    <w:rsid w:val="008B09B6"/>
    <w:rsid w:val="008B3BF5"/>
    <w:rsid w:val="008B4840"/>
    <w:rsid w:val="008B4CC6"/>
    <w:rsid w:val="008B5ECF"/>
    <w:rsid w:val="008B69F9"/>
    <w:rsid w:val="008B730D"/>
    <w:rsid w:val="008B79EF"/>
    <w:rsid w:val="008C0962"/>
    <w:rsid w:val="008C1F38"/>
    <w:rsid w:val="008C3117"/>
    <w:rsid w:val="008C3BB6"/>
    <w:rsid w:val="008C3D5C"/>
    <w:rsid w:val="008C3DFE"/>
    <w:rsid w:val="008C4D9D"/>
    <w:rsid w:val="008C4FE0"/>
    <w:rsid w:val="008C695E"/>
    <w:rsid w:val="008C7619"/>
    <w:rsid w:val="008D06AB"/>
    <w:rsid w:val="008D1B84"/>
    <w:rsid w:val="008D1CDC"/>
    <w:rsid w:val="008D1D2D"/>
    <w:rsid w:val="008D252C"/>
    <w:rsid w:val="008D30BD"/>
    <w:rsid w:val="008D4A74"/>
    <w:rsid w:val="008D56C7"/>
    <w:rsid w:val="008D5732"/>
    <w:rsid w:val="008D6BD9"/>
    <w:rsid w:val="008E125C"/>
    <w:rsid w:val="008E2D03"/>
    <w:rsid w:val="008E3558"/>
    <w:rsid w:val="008E5FF9"/>
    <w:rsid w:val="008E69B6"/>
    <w:rsid w:val="008E6A7B"/>
    <w:rsid w:val="008F2183"/>
    <w:rsid w:val="008F586B"/>
    <w:rsid w:val="008F7765"/>
    <w:rsid w:val="009016BF"/>
    <w:rsid w:val="009026A1"/>
    <w:rsid w:val="009040FD"/>
    <w:rsid w:val="00904DE4"/>
    <w:rsid w:val="0090611F"/>
    <w:rsid w:val="0090634B"/>
    <w:rsid w:val="00906555"/>
    <w:rsid w:val="00907EB1"/>
    <w:rsid w:val="00910134"/>
    <w:rsid w:val="00910C10"/>
    <w:rsid w:val="00911A08"/>
    <w:rsid w:val="00914AE6"/>
    <w:rsid w:val="00916E34"/>
    <w:rsid w:val="009203E3"/>
    <w:rsid w:val="009209C9"/>
    <w:rsid w:val="009209D5"/>
    <w:rsid w:val="00922C1E"/>
    <w:rsid w:val="009241C6"/>
    <w:rsid w:val="00926EEE"/>
    <w:rsid w:val="009278A3"/>
    <w:rsid w:val="00931AFF"/>
    <w:rsid w:val="00933841"/>
    <w:rsid w:val="009341F1"/>
    <w:rsid w:val="0093555B"/>
    <w:rsid w:val="009360FD"/>
    <w:rsid w:val="009364D0"/>
    <w:rsid w:val="009377B1"/>
    <w:rsid w:val="00940386"/>
    <w:rsid w:val="00940994"/>
    <w:rsid w:val="0094167C"/>
    <w:rsid w:val="00943A79"/>
    <w:rsid w:val="00943FF1"/>
    <w:rsid w:val="009445CE"/>
    <w:rsid w:val="00945196"/>
    <w:rsid w:val="009479D6"/>
    <w:rsid w:val="00952C15"/>
    <w:rsid w:val="00953A8B"/>
    <w:rsid w:val="00954887"/>
    <w:rsid w:val="00954B54"/>
    <w:rsid w:val="00954D51"/>
    <w:rsid w:val="00955833"/>
    <w:rsid w:val="00955E1A"/>
    <w:rsid w:val="00957A4D"/>
    <w:rsid w:val="00957C8E"/>
    <w:rsid w:val="00961000"/>
    <w:rsid w:val="00964C20"/>
    <w:rsid w:val="00965128"/>
    <w:rsid w:val="00966EBC"/>
    <w:rsid w:val="00967AF5"/>
    <w:rsid w:val="00967F19"/>
    <w:rsid w:val="009744A9"/>
    <w:rsid w:val="0097529A"/>
    <w:rsid w:val="009755A2"/>
    <w:rsid w:val="009758DA"/>
    <w:rsid w:val="00975D66"/>
    <w:rsid w:val="009803F9"/>
    <w:rsid w:val="0098041B"/>
    <w:rsid w:val="00980768"/>
    <w:rsid w:val="0098274C"/>
    <w:rsid w:val="00982E3E"/>
    <w:rsid w:val="0098553B"/>
    <w:rsid w:val="00985956"/>
    <w:rsid w:val="00985BF5"/>
    <w:rsid w:val="00986301"/>
    <w:rsid w:val="0098682A"/>
    <w:rsid w:val="00987ED2"/>
    <w:rsid w:val="00992108"/>
    <w:rsid w:val="00993AD8"/>
    <w:rsid w:val="00994AF5"/>
    <w:rsid w:val="0099505A"/>
    <w:rsid w:val="009954DA"/>
    <w:rsid w:val="009A14E4"/>
    <w:rsid w:val="009A2676"/>
    <w:rsid w:val="009A28E5"/>
    <w:rsid w:val="009A4BDD"/>
    <w:rsid w:val="009A6213"/>
    <w:rsid w:val="009A6DE4"/>
    <w:rsid w:val="009B027D"/>
    <w:rsid w:val="009B1DDE"/>
    <w:rsid w:val="009B2486"/>
    <w:rsid w:val="009B27F4"/>
    <w:rsid w:val="009B48F0"/>
    <w:rsid w:val="009B4D59"/>
    <w:rsid w:val="009B6C0D"/>
    <w:rsid w:val="009B7E90"/>
    <w:rsid w:val="009C091D"/>
    <w:rsid w:val="009C277F"/>
    <w:rsid w:val="009C2811"/>
    <w:rsid w:val="009C36FA"/>
    <w:rsid w:val="009C3E30"/>
    <w:rsid w:val="009C468E"/>
    <w:rsid w:val="009C52E6"/>
    <w:rsid w:val="009C57B7"/>
    <w:rsid w:val="009C738A"/>
    <w:rsid w:val="009D3CF6"/>
    <w:rsid w:val="009D425C"/>
    <w:rsid w:val="009D46E1"/>
    <w:rsid w:val="009D671C"/>
    <w:rsid w:val="009D7663"/>
    <w:rsid w:val="009D7847"/>
    <w:rsid w:val="009E331B"/>
    <w:rsid w:val="009E42A0"/>
    <w:rsid w:val="009E59BB"/>
    <w:rsid w:val="009E6642"/>
    <w:rsid w:val="009E6DC8"/>
    <w:rsid w:val="009F0C9D"/>
    <w:rsid w:val="009F1041"/>
    <w:rsid w:val="009F1065"/>
    <w:rsid w:val="009F1A4B"/>
    <w:rsid w:val="009F1F7D"/>
    <w:rsid w:val="009F279C"/>
    <w:rsid w:val="009F44B8"/>
    <w:rsid w:val="009F52F1"/>
    <w:rsid w:val="009F7E1D"/>
    <w:rsid w:val="009F7EDE"/>
    <w:rsid w:val="00A00FF6"/>
    <w:rsid w:val="00A01BF1"/>
    <w:rsid w:val="00A03002"/>
    <w:rsid w:val="00A04140"/>
    <w:rsid w:val="00A06E74"/>
    <w:rsid w:val="00A07CAF"/>
    <w:rsid w:val="00A10DAE"/>
    <w:rsid w:val="00A10E55"/>
    <w:rsid w:val="00A116B2"/>
    <w:rsid w:val="00A1281D"/>
    <w:rsid w:val="00A13A2F"/>
    <w:rsid w:val="00A13C52"/>
    <w:rsid w:val="00A140D5"/>
    <w:rsid w:val="00A1562A"/>
    <w:rsid w:val="00A1596F"/>
    <w:rsid w:val="00A162D3"/>
    <w:rsid w:val="00A1688D"/>
    <w:rsid w:val="00A16CA6"/>
    <w:rsid w:val="00A16E1E"/>
    <w:rsid w:val="00A16F51"/>
    <w:rsid w:val="00A200CE"/>
    <w:rsid w:val="00A2136B"/>
    <w:rsid w:val="00A21ADA"/>
    <w:rsid w:val="00A22507"/>
    <w:rsid w:val="00A231F3"/>
    <w:rsid w:val="00A24EE3"/>
    <w:rsid w:val="00A26B3E"/>
    <w:rsid w:val="00A320F5"/>
    <w:rsid w:val="00A321C0"/>
    <w:rsid w:val="00A33760"/>
    <w:rsid w:val="00A3461C"/>
    <w:rsid w:val="00A3464D"/>
    <w:rsid w:val="00A34B74"/>
    <w:rsid w:val="00A372CB"/>
    <w:rsid w:val="00A40918"/>
    <w:rsid w:val="00A40C93"/>
    <w:rsid w:val="00A40E72"/>
    <w:rsid w:val="00A40FBF"/>
    <w:rsid w:val="00A41050"/>
    <w:rsid w:val="00A41305"/>
    <w:rsid w:val="00A41B64"/>
    <w:rsid w:val="00A425D8"/>
    <w:rsid w:val="00A42674"/>
    <w:rsid w:val="00A42939"/>
    <w:rsid w:val="00A43053"/>
    <w:rsid w:val="00A436FD"/>
    <w:rsid w:val="00A440C3"/>
    <w:rsid w:val="00A4492A"/>
    <w:rsid w:val="00A46C72"/>
    <w:rsid w:val="00A471F2"/>
    <w:rsid w:val="00A50CB0"/>
    <w:rsid w:val="00A51458"/>
    <w:rsid w:val="00A53E38"/>
    <w:rsid w:val="00A54AAB"/>
    <w:rsid w:val="00A578F2"/>
    <w:rsid w:val="00A57DEB"/>
    <w:rsid w:val="00A6327A"/>
    <w:rsid w:val="00A63E6B"/>
    <w:rsid w:val="00A64686"/>
    <w:rsid w:val="00A64736"/>
    <w:rsid w:val="00A64740"/>
    <w:rsid w:val="00A67F18"/>
    <w:rsid w:val="00A70346"/>
    <w:rsid w:val="00A70ACA"/>
    <w:rsid w:val="00A70C41"/>
    <w:rsid w:val="00A735CA"/>
    <w:rsid w:val="00A73A64"/>
    <w:rsid w:val="00A743D0"/>
    <w:rsid w:val="00A76222"/>
    <w:rsid w:val="00A77789"/>
    <w:rsid w:val="00A77CCB"/>
    <w:rsid w:val="00A80BD5"/>
    <w:rsid w:val="00A816C4"/>
    <w:rsid w:val="00A835CB"/>
    <w:rsid w:val="00A83AF8"/>
    <w:rsid w:val="00A84890"/>
    <w:rsid w:val="00A85062"/>
    <w:rsid w:val="00A8642C"/>
    <w:rsid w:val="00A86E67"/>
    <w:rsid w:val="00A8785F"/>
    <w:rsid w:val="00A90649"/>
    <w:rsid w:val="00A912A7"/>
    <w:rsid w:val="00A9185E"/>
    <w:rsid w:val="00A92F15"/>
    <w:rsid w:val="00A935E9"/>
    <w:rsid w:val="00A94418"/>
    <w:rsid w:val="00A94C20"/>
    <w:rsid w:val="00A94DE8"/>
    <w:rsid w:val="00A94FB4"/>
    <w:rsid w:val="00A95AEF"/>
    <w:rsid w:val="00A97EE9"/>
    <w:rsid w:val="00AA1E00"/>
    <w:rsid w:val="00AA4898"/>
    <w:rsid w:val="00AA48B9"/>
    <w:rsid w:val="00AA6133"/>
    <w:rsid w:val="00AA630D"/>
    <w:rsid w:val="00AA6899"/>
    <w:rsid w:val="00AA71E9"/>
    <w:rsid w:val="00AB0102"/>
    <w:rsid w:val="00AB11EA"/>
    <w:rsid w:val="00AB1EAE"/>
    <w:rsid w:val="00AB286C"/>
    <w:rsid w:val="00AB3709"/>
    <w:rsid w:val="00AB5590"/>
    <w:rsid w:val="00AB6857"/>
    <w:rsid w:val="00AB6F69"/>
    <w:rsid w:val="00AC0747"/>
    <w:rsid w:val="00AC350D"/>
    <w:rsid w:val="00AC379B"/>
    <w:rsid w:val="00AC5E35"/>
    <w:rsid w:val="00AC5FC3"/>
    <w:rsid w:val="00AC6274"/>
    <w:rsid w:val="00AC6665"/>
    <w:rsid w:val="00AC6906"/>
    <w:rsid w:val="00AC7AFE"/>
    <w:rsid w:val="00AD00CB"/>
    <w:rsid w:val="00AD17D4"/>
    <w:rsid w:val="00AD1AE0"/>
    <w:rsid w:val="00AD42B4"/>
    <w:rsid w:val="00AD462A"/>
    <w:rsid w:val="00AD6746"/>
    <w:rsid w:val="00AD6E4A"/>
    <w:rsid w:val="00AD6FBC"/>
    <w:rsid w:val="00AD7D8D"/>
    <w:rsid w:val="00AD7D93"/>
    <w:rsid w:val="00AE2DED"/>
    <w:rsid w:val="00AE3676"/>
    <w:rsid w:val="00AE5D65"/>
    <w:rsid w:val="00AE7DD0"/>
    <w:rsid w:val="00AF0843"/>
    <w:rsid w:val="00AF13C0"/>
    <w:rsid w:val="00AF1903"/>
    <w:rsid w:val="00AF19B0"/>
    <w:rsid w:val="00AF2156"/>
    <w:rsid w:val="00AF2473"/>
    <w:rsid w:val="00AF32BC"/>
    <w:rsid w:val="00AF4770"/>
    <w:rsid w:val="00AF62AC"/>
    <w:rsid w:val="00AF6654"/>
    <w:rsid w:val="00AF7ECD"/>
    <w:rsid w:val="00B05D13"/>
    <w:rsid w:val="00B05D67"/>
    <w:rsid w:val="00B071AD"/>
    <w:rsid w:val="00B072B0"/>
    <w:rsid w:val="00B07FA0"/>
    <w:rsid w:val="00B1010C"/>
    <w:rsid w:val="00B16C61"/>
    <w:rsid w:val="00B16D80"/>
    <w:rsid w:val="00B1713D"/>
    <w:rsid w:val="00B175AC"/>
    <w:rsid w:val="00B17BB5"/>
    <w:rsid w:val="00B20AEA"/>
    <w:rsid w:val="00B20D45"/>
    <w:rsid w:val="00B224FB"/>
    <w:rsid w:val="00B23164"/>
    <w:rsid w:val="00B240F0"/>
    <w:rsid w:val="00B250C3"/>
    <w:rsid w:val="00B25E0F"/>
    <w:rsid w:val="00B266D3"/>
    <w:rsid w:val="00B26794"/>
    <w:rsid w:val="00B27189"/>
    <w:rsid w:val="00B271DB"/>
    <w:rsid w:val="00B27A84"/>
    <w:rsid w:val="00B305C8"/>
    <w:rsid w:val="00B307A5"/>
    <w:rsid w:val="00B3371A"/>
    <w:rsid w:val="00B33974"/>
    <w:rsid w:val="00B3405A"/>
    <w:rsid w:val="00B359E8"/>
    <w:rsid w:val="00B37B06"/>
    <w:rsid w:val="00B44E2C"/>
    <w:rsid w:val="00B45357"/>
    <w:rsid w:val="00B46BEF"/>
    <w:rsid w:val="00B46DFA"/>
    <w:rsid w:val="00B4752E"/>
    <w:rsid w:val="00B501E9"/>
    <w:rsid w:val="00B51731"/>
    <w:rsid w:val="00B51861"/>
    <w:rsid w:val="00B518A6"/>
    <w:rsid w:val="00B519A1"/>
    <w:rsid w:val="00B53294"/>
    <w:rsid w:val="00B5394A"/>
    <w:rsid w:val="00B53EDB"/>
    <w:rsid w:val="00B57683"/>
    <w:rsid w:val="00B57FC0"/>
    <w:rsid w:val="00B60A27"/>
    <w:rsid w:val="00B60E99"/>
    <w:rsid w:val="00B61363"/>
    <w:rsid w:val="00B61E5B"/>
    <w:rsid w:val="00B62BF7"/>
    <w:rsid w:val="00B635F9"/>
    <w:rsid w:val="00B64265"/>
    <w:rsid w:val="00B64636"/>
    <w:rsid w:val="00B64FBE"/>
    <w:rsid w:val="00B654E1"/>
    <w:rsid w:val="00B656A9"/>
    <w:rsid w:val="00B65767"/>
    <w:rsid w:val="00B65CE4"/>
    <w:rsid w:val="00B661BA"/>
    <w:rsid w:val="00B677ED"/>
    <w:rsid w:val="00B70746"/>
    <w:rsid w:val="00B72E20"/>
    <w:rsid w:val="00B72FF0"/>
    <w:rsid w:val="00B744DE"/>
    <w:rsid w:val="00B747DC"/>
    <w:rsid w:val="00B75BB0"/>
    <w:rsid w:val="00B8011D"/>
    <w:rsid w:val="00B80E62"/>
    <w:rsid w:val="00B816D4"/>
    <w:rsid w:val="00B83D60"/>
    <w:rsid w:val="00B84EB2"/>
    <w:rsid w:val="00B87785"/>
    <w:rsid w:val="00B87E2A"/>
    <w:rsid w:val="00B907A6"/>
    <w:rsid w:val="00B94596"/>
    <w:rsid w:val="00B9608A"/>
    <w:rsid w:val="00B9648E"/>
    <w:rsid w:val="00BA0F29"/>
    <w:rsid w:val="00BA3F24"/>
    <w:rsid w:val="00BA4B58"/>
    <w:rsid w:val="00BA6152"/>
    <w:rsid w:val="00BA6AD5"/>
    <w:rsid w:val="00BA7795"/>
    <w:rsid w:val="00BB0099"/>
    <w:rsid w:val="00BB1257"/>
    <w:rsid w:val="00BB163D"/>
    <w:rsid w:val="00BB193C"/>
    <w:rsid w:val="00BB2B0B"/>
    <w:rsid w:val="00BB5FEF"/>
    <w:rsid w:val="00BB6500"/>
    <w:rsid w:val="00BB6805"/>
    <w:rsid w:val="00BB77C6"/>
    <w:rsid w:val="00BB782B"/>
    <w:rsid w:val="00BC08DB"/>
    <w:rsid w:val="00BC19AC"/>
    <w:rsid w:val="00BC1AE2"/>
    <w:rsid w:val="00BC1AEA"/>
    <w:rsid w:val="00BC26F6"/>
    <w:rsid w:val="00BC5A41"/>
    <w:rsid w:val="00BC6D5F"/>
    <w:rsid w:val="00BC7B0F"/>
    <w:rsid w:val="00BD15C2"/>
    <w:rsid w:val="00BD1700"/>
    <w:rsid w:val="00BD19BF"/>
    <w:rsid w:val="00BD1C3A"/>
    <w:rsid w:val="00BD1C8C"/>
    <w:rsid w:val="00BD2BB6"/>
    <w:rsid w:val="00BD5F08"/>
    <w:rsid w:val="00BD6047"/>
    <w:rsid w:val="00BD6B50"/>
    <w:rsid w:val="00BE4521"/>
    <w:rsid w:val="00BE552F"/>
    <w:rsid w:val="00BE66DE"/>
    <w:rsid w:val="00BE6DED"/>
    <w:rsid w:val="00BE7A05"/>
    <w:rsid w:val="00BF1A33"/>
    <w:rsid w:val="00BF1F55"/>
    <w:rsid w:val="00BF3202"/>
    <w:rsid w:val="00BF55BF"/>
    <w:rsid w:val="00C0011E"/>
    <w:rsid w:val="00C01C85"/>
    <w:rsid w:val="00C052FB"/>
    <w:rsid w:val="00C05FE9"/>
    <w:rsid w:val="00C0779A"/>
    <w:rsid w:val="00C1045D"/>
    <w:rsid w:val="00C108BA"/>
    <w:rsid w:val="00C10958"/>
    <w:rsid w:val="00C11349"/>
    <w:rsid w:val="00C114FD"/>
    <w:rsid w:val="00C122BE"/>
    <w:rsid w:val="00C13468"/>
    <w:rsid w:val="00C13706"/>
    <w:rsid w:val="00C13E5A"/>
    <w:rsid w:val="00C14151"/>
    <w:rsid w:val="00C14F0C"/>
    <w:rsid w:val="00C164E6"/>
    <w:rsid w:val="00C16750"/>
    <w:rsid w:val="00C16F89"/>
    <w:rsid w:val="00C17564"/>
    <w:rsid w:val="00C1786D"/>
    <w:rsid w:val="00C2004F"/>
    <w:rsid w:val="00C21AC9"/>
    <w:rsid w:val="00C21C56"/>
    <w:rsid w:val="00C21DE7"/>
    <w:rsid w:val="00C24EAA"/>
    <w:rsid w:val="00C252FB"/>
    <w:rsid w:val="00C25475"/>
    <w:rsid w:val="00C26026"/>
    <w:rsid w:val="00C26874"/>
    <w:rsid w:val="00C30589"/>
    <w:rsid w:val="00C340EF"/>
    <w:rsid w:val="00C35C8C"/>
    <w:rsid w:val="00C37470"/>
    <w:rsid w:val="00C40841"/>
    <w:rsid w:val="00C409F4"/>
    <w:rsid w:val="00C41A86"/>
    <w:rsid w:val="00C44A18"/>
    <w:rsid w:val="00C46649"/>
    <w:rsid w:val="00C46717"/>
    <w:rsid w:val="00C47397"/>
    <w:rsid w:val="00C51213"/>
    <w:rsid w:val="00C5438C"/>
    <w:rsid w:val="00C551FC"/>
    <w:rsid w:val="00C56F6B"/>
    <w:rsid w:val="00C60793"/>
    <w:rsid w:val="00C61D1A"/>
    <w:rsid w:val="00C634C1"/>
    <w:rsid w:val="00C63E92"/>
    <w:rsid w:val="00C63FFC"/>
    <w:rsid w:val="00C66623"/>
    <w:rsid w:val="00C66E61"/>
    <w:rsid w:val="00C6707B"/>
    <w:rsid w:val="00C679BF"/>
    <w:rsid w:val="00C71283"/>
    <w:rsid w:val="00C72774"/>
    <w:rsid w:val="00C735BC"/>
    <w:rsid w:val="00C7401B"/>
    <w:rsid w:val="00C74579"/>
    <w:rsid w:val="00C74C80"/>
    <w:rsid w:val="00C75ACA"/>
    <w:rsid w:val="00C777B7"/>
    <w:rsid w:val="00C77DD8"/>
    <w:rsid w:val="00C8172C"/>
    <w:rsid w:val="00C819D0"/>
    <w:rsid w:val="00C824C9"/>
    <w:rsid w:val="00C833E8"/>
    <w:rsid w:val="00C83ACE"/>
    <w:rsid w:val="00C83FC4"/>
    <w:rsid w:val="00C85B61"/>
    <w:rsid w:val="00C86414"/>
    <w:rsid w:val="00C874E1"/>
    <w:rsid w:val="00C87785"/>
    <w:rsid w:val="00C90482"/>
    <w:rsid w:val="00C931D6"/>
    <w:rsid w:val="00C95EAA"/>
    <w:rsid w:val="00C96EAB"/>
    <w:rsid w:val="00CA0E71"/>
    <w:rsid w:val="00CA12DA"/>
    <w:rsid w:val="00CA1714"/>
    <w:rsid w:val="00CA301B"/>
    <w:rsid w:val="00CA5409"/>
    <w:rsid w:val="00CA623E"/>
    <w:rsid w:val="00CA6B16"/>
    <w:rsid w:val="00CA7295"/>
    <w:rsid w:val="00CB0E4A"/>
    <w:rsid w:val="00CB2186"/>
    <w:rsid w:val="00CB2F86"/>
    <w:rsid w:val="00CB4122"/>
    <w:rsid w:val="00CB4728"/>
    <w:rsid w:val="00CB63FE"/>
    <w:rsid w:val="00CB64EE"/>
    <w:rsid w:val="00CB6CCD"/>
    <w:rsid w:val="00CB7583"/>
    <w:rsid w:val="00CC00E0"/>
    <w:rsid w:val="00CC21C3"/>
    <w:rsid w:val="00CC3441"/>
    <w:rsid w:val="00CC3DFB"/>
    <w:rsid w:val="00CC5140"/>
    <w:rsid w:val="00CC5931"/>
    <w:rsid w:val="00CC59CB"/>
    <w:rsid w:val="00CC68BE"/>
    <w:rsid w:val="00CC7E44"/>
    <w:rsid w:val="00CD0C20"/>
    <w:rsid w:val="00CD235A"/>
    <w:rsid w:val="00CD2944"/>
    <w:rsid w:val="00CD34E9"/>
    <w:rsid w:val="00CD3B4E"/>
    <w:rsid w:val="00CD6894"/>
    <w:rsid w:val="00CD7709"/>
    <w:rsid w:val="00CD7A89"/>
    <w:rsid w:val="00CE1408"/>
    <w:rsid w:val="00CE1935"/>
    <w:rsid w:val="00CE2031"/>
    <w:rsid w:val="00CE325F"/>
    <w:rsid w:val="00CE446A"/>
    <w:rsid w:val="00CE4DE7"/>
    <w:rsid w:val="00CE665B"/>
    <w:rsid w:val="00CE681E"/>
    <w:rsid w:val="00CE7E29"/>
    <w:rsid w:val="00CF2832"/>
    <w:rsid w:val="00CF2EAA"/>
    <w:rsid w:val="00CF42B2"/>
    <w:rsid w:val="00CF5013"/>
    <w:rsid w:val="00CF7650"/>
    <w:rsid w:val="00D000B4"/>
    <w:rsid w:val="00D004AC"/>
    <w:rsid w:val="00D00961"/>
    <w:rsid w:val="00D02225"/>
    <w:rsid w:val="00D0249A"/>
    <w:rsid w:val="00D027D7"/>
    <w:rsid w:val="00D02C53"/>
    <w:rsid w:val="00D04751"/>
    <w:rsid w:val="00D04A11"/>
    <w:rsid w:val="00D0679E"/>
    <w:rsid w:val="00D06ADA"/>
    <w:rsid w:val="00D06C7F"/>
    <w:rsid w:val="00D136F1"/>
    <w:rsid w:val="00D13C2D"/>
    <w:rsid w:val="00D14047"/>
    <w:rsid w:val="00D1577B"/>
    <w:rsid w:val="00D15EE6"/>
    <w:rsid w:val="00D170F4"/>
    <w:rsid w:val="00D17936"/>
    <w:rsid w:val="00D20451"/>
    <w:rsid w:val="00D2069F"/>
    <w:rsid w:val="00D209BE"/>
    <w:rsid w:val="00D21317"/>
    <w:rsid w:val="00D21515"/>
    <w:rsid w:val="00D2178D"/>
    <w:rsid w:val="00D217CA"/>
    <w:rsid w:val="00D21EC2"/>
    <w:rsid w:val="00D236CA"/>
    <w:rsid w:val="00D238F6"/>
    <w:rsid w:val="00D23F5A"/>
    <w:rsid w:val="00D2602F"/>
    <w:rsid w:val="00D2636D"/>
    <w:rsid w:val="00D27806"/>
    <w:rsid w:val="00D30BFB"/>
    <w:rsid w:val="00D31BAC"/>
    <w:rsid w:val="00D3540E"/>
    <w:rsid w:val="00D37556"/>
    <w:rsid w:val="00D3768E"/>
    <w:rsid w:val="00D42392"/>
    <w:rsid w:val="00D42C6A"/>
    <w:rsid w:val="00D44B59"/>
    <w:rsid w:val="00D46DF8"/>
    <w:rsid w:val="00D474E6"/>
    <w:rsid w:val="00D47A65"/>
    <w:rsid w:val="00D51CF3"/>
    <w:rsid w:val="00D52DC9"/>
    <w:rsid w:val="00D53569"/>
    <w:rsid w:val="00D53A20"/>
    <w:rsid w:val="00D5528E"/>
    <w:rsid w:val="00D55974"/>
    <w:rsid w:val="00D576A4"/>
    <w:rsid w:val="00D57F24"/>
    <w:rsid w:val="00D615E2"/>
    <w:rsid w:val="00D637A7"/>
    <w:rsid w:val="00D63B62"/>
    <w:rsid w:val="00D63E4B"/>
    <w:rsid w:val="00D63F97"/>
    <w:rsid w:val="00D642CC"/>
    <w:rsid w:val="00D66BDA"/>
    <w:rsid w:val="00D70101"/>
    <w:rsid w:val="00D705B5"/>
    <w:rsid w:val="00D7359E"/>
    <w:rsid w:val="00D743FF"/>
    <w:rsid w:val="00D7443D"/>
    <w:rsid w:val="00D75120"/>
    <w:rsid w:val="00D76A4C"/>
    <w:rsid w:val="00D80155"/>
    <w:rsid w:val="00D80307"/>
    <w:rsid w:val="00D80320"/>
    <w:rsid w:val="00D840CF"/>
    <w:rsid w:val="00D8465B"/>
    <w:rsid w:val="00D87B4D"/>
    <w:rsid w:val="00D907F9"/>
    <w:rsid w:val="00D91400"/>
    <w:rsid w:val="00D93DE4"/>
    <w:rsid w:val="00D966AC"/>
    <w:rsid w:val="00D96D3F"/>
    <w:rsid w:val="00D96E24"/>
    <w:rsid w:val="00DA0545"/>
    <w:rsid w:val="00DA0B03"/>
    <w:rsid w:val="00DA17A9"/>
    <w:rsid w:val="00DB1E82"/>
    <w:rsid w:val="00DB293F"/>
    <w:rsid w:val="00DB34A2"/>
    <w:rsid w:val="00DB4A33"/>
    <w:rsid w:val="00DB52C1"/>
    <w:rsid w:val="00DB5A85"/>
    <w:rsid w:val="00DB5EC3"/>
    <w:rsid w:val="00DB6131"/>
    <w:rsid w:val="00DC1100"/>
    <w:rsid w:val="00DC244D"/>
    <w:rsid w:val="00DC27B4"/>
    <w:rsid w:val="00DC3843"/>
    <w:rsid w:val="00DC5808"/>
    <w:rsid w:val="00DC6424"/>
    <w:rsid w:val="00DC7A11"/>
    <w:rsid w:val="00DD1D6F"/>
    <w:rsid w:val="00DD2BE7"/>
    <w:rsid w:val="00DD4677"/>
    <w:rsid w:val="00DD48C7"/>
    <w:rsid w:val="00DD4E0F"/>
    <w:rsid w:val="00DD689D"/>
    <w:rsid w:val="00DD7A50"/>
    <w:rsid w:val="00DD7A94"/>
    <w:rsid w:val="00DE016B"/>
    <w:rsid w:val="00DE08EB"/>
    <w:rsid w:val="00DE0B02"/>
    <w:rsid w:val="00DE1608"/>
    <w:rsid w:val="00DE3655"/>
    <w:rsid w:val="00DE3750"/>
    <w:rsid w:val="00DE3EE5"/>
    <w:rsid w:val="00DE431B"/>
    <w:rsid w:val="00DE5AE9"/>
    <w:rsid w:val="00DE5CEF"/>
    <w:rsid w:val="00DE5E60"/>
    <w:rsid w:val="00DE6789"/>
    <w:rsid w:val="00DF075F"/>
    <w:rsid w:val="00DF12D0"/>
    <w:rsid w:val="00DF54BD"/>
    <w:rsid w:val="00DF56BB"/>
    <w:rsid w:val="00DF6816"/>
    <w:rsid w:val="00DF7C81"/>
    <w:rsid w:val="00E00F6A"/>
    <w:rsid w:val="00E011F8"/>
    <w:rsid w:val="00E0219C"/>
    <w:rsid w:val="00E02EBE"/>
    <w:rsid w:val="00E04CFA"/>
    <w:rsid w:val="00E05205"/>
    <w:rsid w:val="00E06C47"/>
    <w:rsid w:val="00E06F6D"/>
    <w:rsid w:val="00E07FAA"/>
    <w:rsid w:val="00E10689"/>
    <w:rsid w:val="00E10B83"/>
    <w:rsid w:val="00E13CBA"/>
    <w:rsid w:val="00E1577B"/>
    <w:rsid w:val="00E15857"/>
    <w:rsid w:val="00E158C1"/>
    <w:rsid w:val="00E16256"/>
    <w:rsid w:val="00E16645"/>
    <w:rsid w:val="00E170C9"/>
    <w:rsid w:val="00E17D58"/>
    <w:rsid w:val="00E230C4"/>
    <w:rsid w:val="00E232FC"/>
    <w:rsid w:val="00E24EE0"/>
    <w:rsid w:val="00E25DEF"/>
    <w:rsid w:val="00E2627C"/>
    <w:rsid w:val="00E2713C"/>
    <w:rsid w:val="00E2715B"/>
    <w:rsid w:val="00E27819"/>
    <w:rsid w:val="00E30868"/>
    <w:rsid w:val="00E35386"/>
    <w:rsid w:val="00E362B7"/>
    <w:rsid w:val="00E36B07"/>
    <w:rsid w:val="00E37834"/>
    <w:rsid w:val="00E4060D"/>
    <w:rsid w:val="00E40886"/>
    <w:rsid w:val="00E42F93"/>
    <w:rsid w:val="00E4377D"/>
    <w:rsid w:val="00E45515"/>
    <w:rsid w:val="00E45EB3"/>
    <w:rsid w:val="00E46296"/>
    <w:rsid w:val="00E46918"/>
    <w:rsid w:val="00E46A70"/>
    <w:rsid w:val="00E50FF4"/>
    <w:rsid w:val="00E51718"/>
    <w:rsid w:val="00E52CFF"/>
    <w:rsid w:val="00E52E1C"/>
    <w:rsid w:val="00E55A2E"/>
    <w:rsid w:val="00E6201D"/>
    <w:rsid w:val="00E633E4"/>
    <w:rsid w:val="00E65784"/>
    <w:rsid w:val="00E70A08"/>
    <w:rsid w:val="00E72346"/>
    <w:rsid w:val="00E73EC1"/>
    <w:rsid w:val="00E74191"/>
    <w:rsid w:val="00E75272"/>
    <w:rsid w:val="00E75DCB"/>
    <w:rsid w:val="00E7682F"/>
    <w:rsid w:val="00E80CEF"/>
    <w:rsid w:val="00E818B4"/>
    <w:rsid w:val="00E8599E"/>
    <w:rsid w:val="00E85CEF"/>
    <w:rsid w:val="00E85D03"/>
    <w:rsid w:val="00E860FD"/>
    <w:rsid w:val="00E9087D"/>
    <w:rsid w:val="00E9202E"/>
    <w:rsid w:val="00E9217B"/>
    <w:rsid w:val="00E9266F"/>
    <w:rsid w:val="00E93A98"/>
    <w:rsid w:val="00E941CA"/>
    <w:rsid w:val="00E94DDF"/>
    <w:rsid w:val="00E95969"/>
    <w:rsid w:val="00E96946"/>
    <w:rsid w:val="00E96F4C"/>
    <w:rsid w:val="00E97A2E"/>
    <w:rsid w:val="00EA0D4C"/>
    <w:rsid w:val="00EA1162"/>
    <w:rsid w:val="00EA1625"/>
    <w:rsid w:val="00EA1C55"/>
    <w:rsid w:val="00EA2920"/>
    <w:rsid w:val="00EA3087"/>
    <w:rsid w:val="00EA393B"/>
    <w:rsid w:val="00EA59D0"/>
    <w:rsid w:val="00EA6611"/>
    <w:rsid w:val="00EA6E13"/>
    <w:rsid w:val="00EA75F4"/>
    <w:rsid w:val="00EB0644"/>
    <w:rsid w:val="00EB08FB"/>
    <w:rsid w:val="00EB27C2"/>
    <w:rsid w:val="00EB2C8A"/>
    <w:rsid w:val="00EB2FC4"/>
    <w:rsid w:val="00EB51A7"/>
    <w:rsid w:val="00EB57FB"/>
    <w:rsid w:val="00EB7A90"/>
    <w:rsid w:val="00EC0753"/>
    <w:rsid w:val="00EC12EE"/>
    <w:rsid w:val="00EC1765"/>
    <w:rsid w:val="00EC2522"/>
    <w:rsid w:val="00EC262A"/>
    <w:rsid w:val="00EC327E"/>
    <w:rsid w:val="00EC3AAF"/>
    <w:rsid w:val="00EC44B1"/>
    <w:rsid w:val="00EC4612"/>
    <w:rsid w:val="00EC591F"/>
    <w:rsid w:val="00EC5CE0"/>
    <w:rsid w:val="00ED3D1F"/>
    <w:rsid w:val="00ED424B"/>
    <w:rsid w:val="00ED4C1E"/>
    <w:rsid w:val="00ED5EE0"/>
    <w:rsid w:val="00ED7876"/>
    <w:rsid w:val="00EE10A3"/>
    <w:rsid w:val="00EE1AAE"/>
    <w:rsid w:val="00EE220E"/>
    <w:rsid w:val="00EE2777"/>
    <w:rsid w:val="00EE2E56"/>
    <w:rsid w:val="00EE3358"/>
    <w:rsid w:val="00EE371E"/>
    <w:rsid w:val="00EE383D"/>
    <w:rsid w:val="00EE57CC"/>
    <w:rsid w:val="00EE5909"/>
    <w:rsid w:val="00EE7715"/>
    <w:rsid w:val="00EF3677"/>
    <w:rsid w:val="00EF5005"/>
    <w:rsid w:val="00EF576B"/>
    <w:rsid w:val="00EF66DC"/>
    <w:rsid w:val="00EF7EA4"/>
    <w:rsid w:val="00F00BB3"/>
    <w:rsid w:val="00F04BFB"/>
    <w:rsid w:val="00F05F0B"/>
    <w:rsid w:val="00F0648C"/>
    <w:rsid w:val="00F074DB"/>
    <w:rsid w:val="00F10B10"/>
    <w:rsid w:val="00F10C7C"/>
    <w:rsid w:val="00F1127F"/>
    <w:rsid w:val="00F11F59"/>
    <w:rsid w:val="00F13C05"/>
    <w:rsid w:val="00F14649"/>
    <w:rsid w:val="00F1502F"/>
    <w:rsid w:val="00F16C1A"/>
    <w:rsid w:val="00F176EB"/>
    <w:rsid w:val="00F206E9"/>
    <w:rsid w:val="00F206FB"/>
    <w:rsid w:val="00F21C98"/>
    <w:rsid w:val="00F21DC8"/>
    <w:rsid w:val="00F221B1"/>
    <w:rsid w:val="00F224E4"/>
    <w:rsid w:val="00F22610"/>
    <w:rsid w:val="00F253A4"/>
    <w:rsid w:val="00F27294"/>
    <w:rsid w:val="00F30655"/>
    <w:rsid w:val="00F31C71"/>
    <w:rsid w:val="00F326D3"/>
    <w:rsid w:val="00F34650"/>
    <w:rsid w:val="00F34F88"/>
    <w:rsid w:val="00F35A6B"/>
    <w:rsid w:val="00F35FFF"/>
    <w:rsid w:val="00F37693"/>
    <w:rsid w:val="00F4009D"/>
    <w:rsid w:val="00F4176E"/>
    <w:rsid w:val="00F42618"/>
    <w:rsid w:val="00F43E5B"/>
    <w:rsid w:val="00F44443"/>
    <w:rsid w:val="00F449F0"/>
    <w:rsid w:val="00F457A9"/>
    <w:rsid w:val="00F46906"/>
    <w:rsid w:val="00F46D0D"/>
    <w:rsid w:val="00F474C0"/>
    <w:rsid w:val="00F51D57"/>
    <w:rsid w:val="00F527CC"/>
    <w:rsid w:val="00F52F09"/>
    <w:rsid w:val="00F53018"/>
    <w:rsid w:val="00F53990"/>
    <w:rsid w:val="00F56833"/>
    <w:rsid w:val="00F57299"/>
    <w:rsid w:val="00F60782"/>
    <w:rsid w:val="00F62D3D"/>
    <w:rsid w:val="00F6326F"/>
    <w:rsid w:val="00F6382B"/>
    <w:rsid w:val="00F63A8D"/>
    <w:rsid w:val="00F63C52"/>
    <w:rsid w:val="00F67076"/>
    <w:rsid w:val="00F67130"/>
    <w:rsid w:val="00F703B0"/>
    <w:rsid w:val="00F707A5"/>
    <w:rsid w:val="00F70A6C"/>
    <w:rsid w:val="00F73F07"/>
    <w:rsid w:val="00F75C9D"/>
    <w:rsid w:val="00F76CDE"/>
    <w:rsid w:val="00F806A3"/>
    <w:rsid w:val="00F8483A"/>
    <w:rsid w:val="00F85173"/>
    <w:rsid w:val="00F86B5D"/>
    <w:rsid w:val="00F86FCA"/>
    <w:rsid w:val="00F87C27"/>
    <w:rsid w:val="00F90F48"/>
    <w:rsid w:val="00F9340D"/>
    <w:rsid w:val="00F976A9"/>
    <w:rsid w:val="00FA3C03"/>
    <w:rsid w:val="00FA3D5E"/>
    <w:rsid w:val="00FA3EE3"/>
    <w:rsid w:val="00FA4331"/>
    <w:rsid w:val="00FA7131"/>
    <w:rsid w:val="00FA73DE"/>
    <w:rsid w:val="00FB1373"/>
    <w:rsid w:val="00FB29BD"/>
    <w:rsid w:val="00FB2C5B"/>
    <w:rsid w:val="00FB3731"/>
    <w:rsid w:val="00FB4874"/>
    <w:rsid w:val="00FB4D40"/>
    <w:rsid w:val="00FB699D"/>
    <w:rsid w:val="00FB78EC"/>
    <w:rsid w:val="00FB7C99"/>
    <w:rsid w:val="00FC1F4B"/>
    <w:rsid w:val="00FC50C2"/>
    <w:rsid w:val="00FC6510"/>
    <w:rsid w:val="00FC6DD3"/>
    <w:rsid w:val="00FC6E54"/>
    <w:rsid w:val="00FC7145"/>
    <w:rsid w:val="00FC7EB1"/>
    <w:rsid w:val="00FD04BF"/>
    <w:rsid w:val="00FD0B0D"/>
    <w:rsid w:val="00FD1D2C"/>
    <w:rsid w:val="00FD28F4"/>
    <w:rsid w:val="00FD4536"/>
    <w:rsid w:val="00FD58BD"/>
    <w:rsid w:val="00FE00AC"/>
    <w:rsid w:val="00FE04C7"/>
    <w:rsid w:val="00FE0E7D"/>
    <w:rsid w:val="00FE115A"/>
    <w:rsid w:val="00FE1C17"/>
    <w:rsid w:val="00FE1CAA"/>
    <w:rsid w:val="00FE1FA1"/>
    <w:rsid w:val="00FE51CE"/>
    <w:rsid w:val="00FF01F7"/>
    <w:rsid w:val="00FF1FAB"/>
    <w:rsid w:val="00FF1FD1"/>
    <w:rsid w:val="00FF3751"/>
    <w:rsid w:val="00FF57B2"/>
    <w:rsid w:val="00FF57CD"/>
    <w:rsid w:val="11463A1D"/>
    <w:rsid w:val="40124884"/>
    <w:rsid w:val="477BDD52"/>
    <w:rsid w:val="5011C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15:chartTrackingRefBased/>
  <w15:docId w15:val="{0ED40530-02CB-489F-9741-8692483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FR" w:eastAsia="en-US" w:bidi="ar-SA"/>
      </w:rPr>
    </w:rPrDefault>
    <w:pPrDefault>
      <w:pPr>
        <w:spacing w:after="16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5F9"/>
    <w:pPr>
      <w:spacing w:after="120" w:line="264" w:lineRule="auto"/>
    </w:pPr>
    <w:rPr>
      <w:rFonts w:asciiTheme="minorHAnsi" w:eastAsiaTheme="minorEastAsia" w:hAnsiTheme="minorHAnsi"/>
      <w:sz w:val="20"/>
      <w:szCs w:val="20"/>
    </w:rPr>
  </w:style>
  <w:style w:type="paragraph" w:styleId="Heading1">
    <w:name w:val="heading 1"/>
    <w:basedOn w:val="Normal"/>
    <w:next w:val="Normal"/>
    <w:link w:val="Heading1Char"/>
    <w:uiPriority w:val="9"/>
    <w:qFormat/>
    <w:rsid w:val="00B635F9"/>
    <w:pPr>
      <w:keepNext/>
      <w:keepLines/>
      <w:spacing w:before="320" w:after="0" w:line="240" w:lineRule="auto"/>
      <w:outlineLvl w:val="0"/>
    </w:pPr>
    <w:rPr>
      <w:rFonts w:asciiTheme="majorHAnsi" w:eastAsiaTheme="majorEastAsia" w:hAnsiTheme="majorHAnsi" w:cstheme="majorBidi"/>
      <w:color w:val="939599" w:themeColor="accent1" w:themeShade="BF"/>
      <w:sz w:val="32"/>
      <w:szCs w:val="32"/>
    </w:rPr>
  </w:style>
  <w:style w:type="paragraph" w:styleId="Heading2">
    <w:name w:val="heading 2"/>
    <w:basedOn w:val="Normal"/>
    <w:next w:val="Normal"/>
    <w:link w:val="Heading2Char"/>
    <w:uiPriority w:val="9"/>
    <w:unhideWhenUsed/>
    <w:qFormat/>
    <w:rsid w:val="00B635F9"/>
    <w:pPr>
      <w:keepNext/>
      <w:keepLines/>
      <w:spacing w:before="80" w:after="0" w:line="240" w:lineRule="auto"/>
      <w:outlineLvl w:val="1"/>
    </w:pPr>
    <w:rPr>
      <w:rFonts w:asciiTheme="majorHAnsi" w:eastAsiaTheme="majorEastAsia" w:hAnsiTheme="majorHAnsi" w:cstheme="majorBidi"/>
      <w:color w:val="6F6F6F" w:themeColor="text1" w:themeTint="BF"/>
      <w:sz w:val="28"/>
      <w:szCs w:val="28"/>
    </w:rPr>
  </w:style>
  <w:style w:type="paragraph" w:styleId="Heading3">
    <w:name w:val="heading 3"/>
    <w:basedOn w:val="Normal"/>
    <w:next w:val="Normal"/>
    <w:link w:val="Heading3Char"/>
    <w:uiPriority w:val="9"/>
    <w:semiHidden/>
    <w:unhideWhenUsed/>
    <w:qFormat/>
    <w:rsid w:val="00B635F9"/>
    <w:pPr>
      <w:keepNext/>
      <w:keepLines/>
      <w:spacing w:before="40" w:after="0" w:line="240" w:lineRule="auto"/>
      <w:outlineLvl w:val="2"/>
    </w:pPr>
    <w:rPr>
      <w:rFonts w:asciiTheme="majorHAnsi" w:eastAsiaTheme="majorEastAsia" w:hAnsiTheme="majorHAnsi" w:cstheme="majorBidi"/>
      <w:color w:val="FFFFFF" w:themeColor="text2"/>
      <w:sz w:val="24"/>
      <w:szCs w:val="24"/>
    </w:rPr>
  </w:style>
  <w:style w:type="paragraph" w:styleId="Heading4">
    <w:name w:val="heading 4"/>
    <w:basedOn w:val="Normal"/>
    <w:next w:val="Normal"/>
    <w:link w:val="Heading4Char"/>
    <w:uiPriority w:val="9"/>
    <w:semiHidden/>
    <w:unhideWhenUsed/>
    <w:qFormat/>
    <w:rsid w:val="00B635F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635F9"/>
    <w:pPr>
      <w:keepNext/>
      <w:keepLines/>
      <w:spacing w:before="40" w:after="0"/>
      <w:outlineLvl w:val="4"/>
    </w:pPr>
    <w:rPr>
      <w:rFonts w:asciiTheme="majorHAnsi" w:eastAsiaTheme="majorEastAsia" w:hAnsiTheme="majorHAnsi" w:cstheme="majorBidi"/>
      <w:color w:val="FFFFFF" w:themeColor="text2"/>
      <w:sz w:val="22"/>
      <w:szCs w:val="22"/>
    </w:rPr>
  </w:style>
  <w:style w:type="paragraph" w:styleId="Heading6">
    <w:name w:val="heading 6"/>
    <w:basedOn w:val="Normal"/>
    <w:next w:val="Normal"/>
    <w:link w:val="Heading6Char"/>
    <w:uiPriority w:val="9"/>
    <w:semiHidden/>
    <w:unhideWhenUsed/>
    <w:qFormat/>
    <w:rsid w:val="00B635F9"/>
    <w:pPr>
      <w:keepNext/>
      <w:keepLines/>
      <w:spacing w:before="40" w:after="0"/>
      <w:outlineLvl w:val="5"/>
    </w:pPr>
    <w:rPr>
      <w:rFonts w:asciiTheme="majorHAnsi" w:eastAsiaTheme="majorEastAsia" w:hAnsiTheme="majorHAnsi" w:cstheme="majorBidi"/>
      <w:i/>
      <w:iCs/>
      <w:color w:val="FFFFFF" w:themeColor="text2"/>
      <w:sz w:val="21"/>
      <w:szCs w:val="21"/>
    </w:rPr>
  </w:style>
  <w:style w:type="paragraph" w:styleId="Heading7">
    <w:name w:val="heading 7"/>
    <w:basedOn w:val="Normal"/>
    <w:next w:val="Normal"/>
    <w:link w:val="Heading7Char"/>
    <w:uiPriority w:val="9"/>
    <w:semiHidden/>
    <w:unhideWhenUsed/>
    <w:qFormat/>
    <w:rsid w:val="00B635F9"/>
    <w:pPr>
      <w:keepNext/>
      <w:keepLines/>
      <w:spacing w:before="40" w:after="0"/>
      <w:outlineLvl w:val="6"/>
    </w:pPr>
    <w:rPr>
      <w:rFonts w:asciiTheme="majorHAnsi" w:eastAsiaTheme="majorEastAsia" w:hAnsiTheme="majorHAnsi" w:cstheme="majorBidi"/>
      <w:i/>
      <w:iCs/>
      <w:color w:val="616367" w:themeColor="accent1" w:themeShade="80"/>
      <w:sz w:val="21"/>
      <w:szCs w:val="21"/>
    </w:rPr>
  </w:style>
  <w:style w:type="paragraph" w:styleId="Heading8">
    <w:name w:val="heading 8"/>
    <w:basedOn w:val="Normal"/>
    <w:next w:val="Normal"/>
    <w:link w:val="Heading8Char"/>
    <w:uiPriority w:val="9"/>
    <w:semiHidden/>
    <w:unhideWhenUsed/>
    <w:qFormat/>
    <w:rsid w:val="00B635F9"/>
    <w:pPr>
      <w:keepNext/>
      <w:keepLines/>
      <w:spacing w:before="40" w:after="0"/>
      <w:outlineLvl w:val="7"/>
    </w:pPr>
    <w:rPr>
      <w:rFonts w:asciiTheme="majorHAnsi" w:eastAsiaTheme="majorEastAsia" w:hAnsiTheme="majorHAnsi" w:cstheme="majorBidi"/>
      <w:b/>
      <w:bCs/>
      <w:color w:val="FFFFFF" w:themeColor="text2"/>
    </w:rPr>
  </w:style>
  <w:style w:type="paragraph" w:styleId="Heading9">
    <w:name w:val="heading 9"/>
    <w:basedOn w:val="Normal"/>
    <w:next w:val="Normal"/>
    <w:link w:val="Heading9Char"/>
    <w:uiPriority w:val="9"/>
    <w:semiHidden/>
    <w:unhideWhenUsed/>
    <w:qFormat/>
    <w:rsid w:val="00B635F9"/>
    <w:pPr>
      <w:keepNext/>
      <w:keepLines/>
      <w:spacing w:before="40" w:after="0"/>
      <w:outlineLvl w:val="8"/>
    </w:pPr>
    <w:rPr>
      <w:rFonts w:asciiTheme="majorHAnsi" w:eastAsiaTheme="majorEastAsia" w:hAnsiTheme="majorHAnsi" w:cstheme="majorBidi"/>
      <w:b/>
      <w:bCs/>
      <w:i/>
      <w:iCs/>
      <w:color w:val="FFFF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F527CC"/>
    <w:rPr>
      <w:lang w:val="en-US"/>
    </w:rPr>
  </w:style>
  <w:style w:type="paragraph" w:styleId="Footer">
    <w:name w:val="footer"/>
    <w:basedOn w:val="Normal"/>
    <w:link w:val="FooterChar"/>
    <w:uiPriority w:val="99"/>
    <w:rsid w:val="00F527CC"/>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F527CC"/>
    <w:rPr>
      <w:sz w:val="16"/>
      <w:szCs w:val="16"/>
      <w:lang w:val="en-US"/>
    </w:rPr>
  </w:style>
  <w:style w:type="table" w:styleId="TableGrid">
    <w:name w:val="Table Grid"/>
    <w:basedOn w:val="Table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E80CEF"/>
    <w:pPr>
      <w:spacing w:after="0" w:line="180" w:lineRule="atLeast"/>
    </w:pPr>
    <w:rPr>
      <w:rFonts w:ascii="Arial" w:eastAsiaTheme="minorHAnsi" w:hAnsi="Arial"/>
      <w:noProof/>
      <w:sz w:val="15"/>
      <w:szCs w:val="22"/>
      <w:lang w:val="en-US"/>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2"/>
    <w:semiHidden/>
    <w:rsid w:val="00F527CC"/>
    <w:pPr>
      <w:spacing w:before="520" w:after="520"/>
    </w:pPr>
  </w:style>
  <w:style w:type="character" w:customStyle="1" w:styleId="DateChar">
    <w:name w:val="Date Char"/>
    <w:basedOn w:val="DefaultParagraphFont"/>
    <w:link w:val="Date"/>
    <w:uiPriority w:val="2"/>
    <w:semiHidden/>
    <w:rsid w:val="00F527CC"/>
    <w:rPr>
      <w:lang w:val="en-US"/>
    </w:rPr>
  </w:style>
  <w:style w:type="paragraph" w:customStyle="1" w:styleId="RecipientAddress">
    <w:name w:val="Recipient Address"/>
    <w:basedOn w:val="Normal"/>
    <w:semiHidden/>
    <w:qFormat/>
    <w:rsid w:val="00E80CEF"/>
    <w:pPr>
      <w:spacing w:after="0" w:line="240" w:lineRule="atLeast"/>
    </w:pPr>
    <w:rPr>
      <w:rFonts w:ascii="Arial" w:eastAsiaTheme="minorHAnsi" w:hAnsi="Arial"/>
      <w:sz w:val="22"/>
      <w:szCs w:val="22"/>
      <w:lang w:val="en-US"/>
    </w:rPr>
  </w:style>
  <w:style w:type="paragraph" w:customStyle="1" w:styleId="Yours">
    <w:name w:val="Yours"/>
    <w:basedOn w:val="Normal"/>
    <w:next w:val="Author"/>
    <w:uiPriority w:val="6"/>
    <w:semiHidden/>
    <w:qFormat/>
    <w:rsid w:val="00E80CEF"/>
    <w:pPr>
      <w:keepNext/>
      <w:keepLines/>
      <w:spacing w:before="520" w:after="1000" w:line="276" w:lineRule="auto"/>
    </w:pPr>
    <w:rPr>
      <w:rFonts w:ascii="Arial" w:eastAsiaTheme="minorHAnsi" w:hAnsi="Arial"/>
      <w:sz w:val="22"/>
      <w:lang w:val="en-US"/>
    </w:rPr>
  </w:style>
  <w:style w:type="paragraph" w:customStyle="1" w:styleId="Author">
    <w:name w:val="Author"/>
    <w:basedOn w:val="Normal"/>
    <w:next w:val="JobTitle"/>
    <w:uiPriority w:val="7"/>
    <w:semiHidden/>
    <w:qFormat/>
    <w:rsid w:val="00E80CEF"/>
    <w:pPr>
      <w:keepNext/>
      <w:keepLines/>
      <w:spacing w:after="0" w:line="276" w:lineRule="auto"/>
    </w:pPr>
    <w:rPr>
      <w:rFonts w:ascii="Arial" w:eastAsiaTheme="minorHAnsi" w:hAnsi="Arial"/>
      <w:sz w:val="22"/>
      <w:lang w:val="en-US"/>
    </w:rPr>
  </w:style>
  <w:style w:type="paragraph" w:customStyle="1" w:styleId="JobTitle">
    <w:name w:val="JobTitle"/>
    <w:basedOn w:val="Normal"/>
    <w:uiPriority w:val="8"/>
    <w:semiHidden/>
    <w:qFormat/>
    <w:rsid w:val="00E80CEF"/>
    <w:pPr>
      <w:keepNext/>
      <w:keepLines/>
      <w:spacing w:after="240" w:line="276" w:lineRule="auto"/>
      <w:contextualSpacing/>
    </w:pPr>
    <w:rPr>
      <w:rFonts w:ascii="Arial" w:eastAsiaTheme="minorHAnsi" w:hAnsi="Arial"/>
      <w:sz w:val="22"/>
      <w:lang w:val="en-US"/>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en-US"/>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98274C"/>
    <w:rPr>
      <w:rFonts w:asciiTheme="majorHAnsi" w:eastAsiaTheme="majorEastAsia" w:hAnsiTheme="majorHAnsi" w:cstheme="majorBidi"/>
      <w:color w:val="939599" w:themeColor="accent1" w:themeShade="BF"/>
      <w:sz w:val="32"/>
      <w:szCs w:val="32"/>
    </w:rPr>
  </w:style>
  <w:style w:type="character" w:customStyle="1" w:styleId="Heading2Char">
    <w:name w:val="Heading 2 Char"/>
    <w:basedOn w:val="DefaultParagraphFont"/>
    <w:link w:val="Heading2"/>
    <w:uiPriority w:val="9"/>
    <w:rsid w:val="00F527CC"/>
    <w:rPr>
      <w:rFonts w:asciiTheme="majorHAnsi" w:eastAsiaTheme="majorEastAsia" w:hAnsiTheme="majorHAnsi" w:cstheme="majorBidi"/>
      <w:color w:val="6F6F6F" w:themeColor="text1" w:themeTint="BF"/>
      <w:sz w:val="28"/>
      <w:szCs w:val="28"/>
    </w:rPr>
  </w:style>
  <w:style w:type="paragraph" w:customStyle="1" w:styleId="Texteformulaire">
    <w:name w:val="Texte formulaire"/>
    <w:basedOn w:val="Normal"/>
    <w:next w:val="Normal"/>
    <w:uiPriority w:val="5"/>
    <w:qFormat/>
    <w:rsid w:val="00E80CEF"/>
    <w:pPr>
      <w:spacing w:before="60" w:after="60" w:line="240" w:lineRule="auto"/>
      <w:jc w:val="both"/>
    </w:pPr>
    <w:rPr>
      <w:rFonts w:ascii="Arial" w:eastAsiaTheme="minorHAnsi" w:hAnsi="Arial"/>
      <w:sz w:val="22"/>
      <w:szCs w:val="22"/>
      <w:lang w:val="en-US"/>
    </w:rPr>
  </w:style>
  <w:style w:type="paragraph" w:customStyle="1" w:styleId="Note">
    <w:name w:val="Note"/>
    <w:basedOn w:val="Normal"/>
    <w:next w:val="Normal"/>
    <w:uiPriority w:val="29"/>
    <w:qFormat/>
    <w:rsid w:val="00E80CEF"/>
    <w:pPr>
      <w:spacing w:line="220" w:lineRule="atLeast"/>
    </w:pPr>
    <w:rPr>
      <w:rFonts w:ascii="Arial" w:eastAsiaTheme="minorHAnsi" w:hAnsi="Arial"/>
      <w:sz w:val="16"/>
      <w:szCs w:val="16"/>
      <w:lang w:val="en-US"/>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iPriority w:val="99"/>
    <w:unhideWhenUsed/>
    <w:rsid w:val="00E80CEF"/>
    <w:pPr>
      <w:spacing w:after="0" w:line="240" w:lineRule="auto"/>
    </w:pPr>
    <w:rPr>
      <w:rFonts w:ascii="Arial" w:eastAsiaTheme="minorHAnsi" w:hAnsi="Arial"/>
      <w:sz w:val="16"/>
      <w:lang w:val="en-US"/>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F527CC"/>
    <w:rPr>
      <w:sz w:val="16"/>
      <w:szCs w:val="20"/>
      <w:lang w:val="en-US"/>
    </w:rPr>
  </w:style>
  <w:style w:type="character" w:styleId="FootnoteReference">
    <w:name w:val="footnote reference"/>
    <w:aliases w:val="ftref,16 Point,Superscript 6 Point,note bp,Car Car Char Car Char Car Car Char Car Char Char,Car Car Car Car Car Car Car Car Char Car Car Char Car Car Car Char Car Char Char Char,BVI fnr,Ref,de nota al pie,note de bas de page,fr"/>
    <w:basedOn w:val="DefaultParagraphFont"/>
    <w:link w:val="BVIfnrCharChar"/>
    <w:uiPriority w:val="99"/>
    <w:unhideWhenUsed/>
    <w:qFormat/>
    <w:rsid w:val="00F527CC"/>
    <w:rPr>
      <w:vertAlign w:val="superscript"/>
      <w:lang w:val="en-US"/>
    </w:rPr>
  </w:style>
  <w:style w:type="paragraph" w:styleId="NoSpacing">
    <w:name w:val="No Spacing"/>
    <w:uiPriority w:val="1"/>
    <w:qFormat/>
    <w:rsid w:val="00F527CC"/>
    <w:pPr>
      <w:spacing w:after="0" w:line="240" w:lineRule="auto"/>
    </w:pPr>
    <w:rPr>
      <w:lang w:val="en-US"/>
    </w:rPr>
  </w:style>
  <w:style w:type="paragraph" w:styleId="EndnoteText">
    <w:name w:val="endnote text"/>
    <w:basedOn w:val="Normal"/>
    <w:link w:val="EndnoteTextChar"/>
    <w:uiPriority w:val="99"/>
    <w:semiHidden/>
    <w:unhideWhenUsed/>
    <w:rsid w:val="00F527CC"/>
    <w:pPr>
      <w:spacing w:after="0" w:line="240" w:lineRule="auto"/>
    </w:pPr>
    <w:rPr>
      <w:sz w:val="16"/>
      <w:szCs w:val="16"/>
    </w:rPr>
  </w:style>
  <w:style w:type="character" w:customStyle="1" w:styleId="EndnoteTextChar">
    <w:name w:val="Endnote Text Char"/>
    <w:basedOn w:val="DefaultParagraphFont"/>
    <w:link w:val="EndnoteText"/>
    <w:uiPriority w:val="99"/>
    <w:semiHidden/>
    <w:rsid w:val="00F527CC"/>
    <w:rPr>
      <w:sz w:val="16"/>
      <w:szCs w:val="16"/>
      <w:lang w:val="en-US"/>
    </w:rPr>
  </w:style>
  <w:style w:type="character" w:styleId="EndnoteReference">
    <w:name w:val="endnote reference"/>
    <w:basedOn w:val="DefaultParagraphFont"/>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pPr>
      <w:spacing w:after="0" w:line="240" w:lineRule="auto"/>
    </w:pPr>
    <w:rPr>
      <w:noProof/>
      <w:sz w:val="2"/>
    </w:rPr>
  </w:style>
  <w:style w:type="character" w:styleId="PlaceholderText">
    <w:name w:val="Placeholder Text"/>
    <w:basedOn w:val="DefaultParagraphFont"/>
    <w:uiPriority w:val="99"/>
    <w:semiHidden/>
    <w:rsid w:val="00F527CC"/>
    <w:rPr>
      <w:color w:val="808080"/>
      <w:lang w:val="en-US"/>
    </w:rPr>
  </w:style>
  <w:style w:type="paragraph" w:customStyle="1" w:styleId="AddressTopLine">
    <w:name w:val="AddressTopLine"/>
    <w:basedOn w:val="Address"/>
    <w:semiHidden/>
    <w:qFormat/>
    <w:rsid w:val="00E80CEF"/>
    <w:pPr>
      <w:spacing w:after="180"/>
      <w:contextualSpacing/>
    </w:pPr>
  </w:style>
  <w:style w:type="paragraph" w:customStyle="1" w:styleId="AddressTopLineSmall">
    <w:name w:val="AddressTopLineSmall"/>
    <w:basedOn w:val="AddressTopLine"/>
    <w:semiHidden/>
    <w:qFormat/>
    <w:rsid w:val="00E80CEF"/>
    <w:pPr>
      <w:spacing w:line="140" w:lineRule="atLeast"/>
    </w:pPr>
    <w:rPr>
      <w:sz w:val="12"/>
    </w:rPr>
  </w:style>
  <w:style w:type="paragraph" w:customStyle="1" w:styleId="AddressSmall">
    <w:name w:val="AddressSmall"/>
    <w:basedOn w:val="Address"/>
    <w:semiHidden/>
    <w:qFormat/>
    <w:rsid w:val="00E80CEF"/>
    <w:pPr>
      <w:spacing w:line="140" w:lineRule="atLeast"/>
    </w:pPr>
    <w:rPr>
      <w:sz w:val="12"/>
    </w:rPr>
  </w:style>
  <w:style w:type="paragraph" w:customStyle="1" w:styleId="Tiny">
    <w:name w:val="Tiny"/>
    <w:basedOn w:val="Normal"/>
    <w:uiPriority w:val="15"/>
    <w:semiHidden/>
    <w:qFormat/>
    <w:rsid w:val="00E80CEF"/>
    <w:pPr>
      <w:spacing w:after="0" w:line="240" w:lineRule="auto"/>
    </w:pPr>
    <w:rPr>
      <w:rFonts w:ascii="Arial" w:eastAsiaTheme="minorHAnsi" w:hAnsi="Arial"/>
      <w:sz w:val="2"/>
      <w:szCs w:val="22"/>
      <w:lang w:val="en-US"/>
    </w:rPr>
  </w:style>
  <w:style w:type="paragraph" w:styleId="Title">
    <w:name w:val="Title"/>
    <w:basedOn w:val="Normal"/>
    <w:next w:val="Normal"/>
    <w:link w:val="TitleChar"/>
    <w:uiPriority w:val="10"/>
    <w:qFormat/>
    <w:rsid w:val="00B635F9"/>
    <w:pPr>
      <w:spacing w:after="0" w:line="240" w:lineRule="auto"/>
      <w:contextualSpacing/>
    </w:pPr>
    <w:rPr>
      <w:rFonts w:asciiTheme="majorHAnsi" w:eastAsiaTheme="majorEastAsia" w:hAnsiTheme="majorHAnsi" w:cstheme="majorBidi"/>
      <w:color w:val="C7C8CA" w:themeColor="accent1"/>
      <w:spacing w:val="-10"/>
      <w:sz w:val="56"/>
      <w:szCs w:val="56"/>
    </w:rPr>
  </w:style>
  <w:style w:type="character" w:customStyle="1" w:styleId="TitleChar">
    <w:name w:val="Title Char"/>
    <w:basedOn w:val="DefaultParagraphFont"/>
    <w:link w:val="Title"/>
    <w:uiPriority w:val="10"/>
    <w:rsid w:val="00F527CC"/>
    <w:rPr>
      <w:rFonts w:asciiTheme="majorHAnsi" w:eastAsiaTheme="majorEastAsia" w:hAnsiTheme="majorHAnsi" w:cstheme="majorBidi"/>
      <w:color w:val="C7C8CA" w:themeColor="accent1"/>
      <w:spacing w:val="-10"/>
      <w:sz w:val="56"/>
      <w:szCs w:val="56"/>
    </w:rPr>
  </w:style>
  <w:style w:type="paragraph" w:styleId="Subtitle">
    <w:name w:val="Subtitle"/>
    <w:basedOn w:val="Normal"/>
    <w:next w:val="Normal"/>
    <w:link w:val="SubtitleChar"/>
    <w:uiPriority w:val="11"/>
    <w:qFormat/>
    <w:rsid w:val="00B635F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527CC"/>
    <w:rPr>
      <w:rFonts w:asciiTheme="majorHAnsi" w:eastAsiaTheme="majorEastAsia" w:hAnsiTheme="majorHAnsi" w:cstheme="majorBidi"/>
      <w:sz w:val="24"/>
      <w:szCs w:val="24"/>
    </w:rPr>
  </w:style>
  <w:style w:type="paragraph" w:customStyle="1" w:styleId="Bullet1">
    <w:name w:val="Bullet 1"/>
    <w:basedOn w:val="Normal"/>
    <w:uiPriority w:val="32"/>
    <w:qFormat/>
    <w:rsid w:val="00E80CEF"/>
    <w:pPr>
      <w:numPr>
        <w:numId w:val="11"/>
      </w:numPr>
      <w:spacing w:after="160" w:line="260" w:lineRule="atLeast"/>
    </w:pPr>
    <w:rPr>
      <w:rFonts w:ascii="Arial" w:eastAsiaTheme="minorHAnsi" w:hAnsi="Arial"/>
      <w:sz w:val="22"/>
      <w:lang w:val="en-US"/>
    </w:rPr>
  </w:style>
  <w:style w:type="paragraph" w:customStyle="1" w:styleId="Bullet2">
    <w:name w:val="Bullet 2"/>
    <w:basedOn w:val="Normal"/>
    <w:uiPriority w:val="32"/>
    <w:qFormat/>
    <w:rsid w:val="00E80CEF"/>
    <w:pPr>
      <w:numPr>
        <w:ilvl w:val="1"/>
        <w:numId w:val="11"/>
      </w:numPr>
      <w:spacing w:after="160" w:line="260" w:lineRule="atLeast"/>
    </w:pPr>
    <w:rPr>
      <w:rFonts w:ascii="Arial" w:eastAsiaTheme="minorHAnsi" w:hAnsi="Arial"/>
      <w:sz w:val="22"/>
      <w:lang w:val="en-US"/>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E80CEF"/>
    <w:pPr>
      <w:numPr>
        <w:numId w:val="14"/>
      </w:numPr>
      <w:spacing w:after="160" w:line="260" w:lineRule="atLeast"/>
    </w:pPr>
    <w:rPr>
      <w:rFonts w:ascii="Arial" w:eastAsiaTheme="minorHAnsi" w:hAnsi="Arial"/>
      <w:sz w:val="22"/>
      <w:lang w:val="en-US"/>
    </w:rPr>
  </w:style>
  <w:style w:type="paragraph" w:customStyle="1" w:styleId="AlphaList2">
    <w:name w:val="AlphaList 2"/>
    <w:basedOn w:val="Normal"/>
    <w:uiPriority w:val="31"/>
    <w:qFormat/>
    <w:rsid w:val="00E80CEF"/>
    <w:pPr>
      <w:numPr>
        <w:ilvl w:val="1"/>
        <w:numId w:val="14"/>
      </w:numPr>
      <w:spacing w:after="160" w:line="260" w:lineRule="atLeast"/>
    </w:pPr>
    <w:rPr>
      <w:rFonts w:ascii="Arial" w:eastAsiaTheme="minorHAnsi" w:hAnsi="Arial"/>
      <w:sz w:val="22"/>
      <w:lang w:val="en-US"/>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E80CEF"/>
    <w:pPr>
      <w:numPr>
        <w:ilvl w:val="2"/>
        <w:numId w:val="11"/>
      </w:numPr>
      <w:spacing w:line="240" w:lineRule="atLeast"/>
      <w:jc w:val="both"/>
    </w:pPr>
    <w:rPr>
      <w:rFonts w:ascii="Arial" w:eastAsiaTheme="minorHAnsi" w:hAnsi="Arial"/>
      <w:sz w:val="22"/>
      <w:lang w:val="en-US"/>
    </w:rPr>
  </w:style>
  <w:style w:type="numbering" w:customStyle="1" w:styleId="NumHeadingsLst">
    <w:name w:val="NumHeadingsLst"/>
    <w:uiPriority w:val="99"/>
    <w:rsid w:val="00F527CC"/>
    <w:pPr>
      <w:numPr>
        <w:numId w:val="13"/>
      </w:numPr>
    </w:pPr>
  </w:style>
  <w:style w:type="paragraph" w:styleId="Quote">
    <w:name w:val="Quote"/>
    <w:basedOn w:val="Normal"/>
    <w:next w:val="Normal"/>
    <w:link w:val="QuoteChar"/>
    <w:uiPriority w:val="29"/>
    <w:qFormat/>
    <w:rsid w:val="00B635F9"/>
    <w:pPr>
      <w:spacing w:before="160"/>
      <w:ind w:left="720" w:right="720"/>
    </w:pPr>
    <w:rPr>
      <w:i/>
      <w:iCs/>
      <w:color w:val="6F6F6F" w:themeColor="text1" w:themeTint="BF"/>
    </w:rPr>
  </w:style>
  <w:style w:type="character" w:customStyle="1" w:styleId="QuoteChar">
    <w:name w:val="Quote Char"/>
    <w:basedOn w:val="DefaultParagraphFont"/>
    <w:link w:val="Quote"/>
    <w:uiPriority w:val="29"/>
    <w:rsid w:val="00F527CC"/>
    <w:rPr>
      <w:rFonts w:asciiTheme="minorHAnsi" w:eastAsiaTheme="minorEastAsia" w:hAnsiTheme="minorHAnsi"/>
      <w:i/>
      <w:iCs/>
      <w:color w:val="6F6F6F" w:themeColor="text1" w:themeTint="BF"/>
      <w:sz w:val="20"/>
      <w:szCs w:val="20"/>
    </w:rPr>
  </w:style>
  <w:style w:type="paragraph" w:styleId="TOC1">
    <w:name w:val="toc 1"/>
    <w:basedOn w:val="Normal"/>
    <w:next w:val="Normal"/>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TOC2">
    <w:name w:val="toc 2"/>
    <w:basedOn w:val="Normal"/>
    <w:next w:val="Normal"/>
    <w:autoRedefine/>
    <w:uiPriority w:val="39"/>
    <w:rsid w:val="00E80CEF"/>
    <w:pPr>
      <w:tabs>
        <w:tab w:val="left" w:pos="567"/>
      </w:tabs>
      <w:spacing w:after="100" w:line="300" w:lineRule="atLeast"/>
      <w:ind w:left="567" w:right="567" w:hanging="567"/>
    </w:pPr>
    <w:rPr>
      <w:rFonts w:ascii="Arial" w:eastAsiaTheme="minorHAnsi" w:hAnsi="Arial"/>
      <w:sz w:val="22"/>
      <w:lang w:val="en-US"/>
    </w:rPr>
  </w:style>
  <w:style w:type="character" w:styleId="Hyperlink">
    <w:name w:val="Hyperlink"/>
    <w:basedOn w:val="DefaultParagraphFont"/>
    <w:uiPriority w:val="99"/>
    <w:rsid w:val="00F527CC"/>
    <w:rPr>
      <w:color w:val="0563C1" w:themeColor="hyperlink"/>
      <w:u w:val="single"/>
      <w:lang w:val="en-US"/>
    </w:rPr>
  </w:style>
  <w:style w:type="paragraph" w:styleId="TOC3">
    <w:name w:val="toc 3"/>
    <w:basedOn w:val="Normal"/>
    <w:next w:val="Normal"/>
    <w:autoRedefine/>
    <w:uiPriority w:val="39"/>
    <w:semiHidden/>
    <w:unhideWhenUsed/>
    <w:rsid w:val="00F527CC"/>
    <w:pPr>
      <w:spacing w:after="100"/>
      <w:ind w:left="440"/>
    </w:pPr>
  </w:style>
  <w:style w:type="paragraph" w:styleId="TOC4">
    <w:name w:val="toc 4"/>
    <w:basedOn w:val="Normal"/>
    <w:next w:val="Normal"/>
    <w:autoRedefine/>
    <w:uiPriority w:val="39"/>
    <w:semiHidden/>
    <w:unhideWhenUsed/>
    <w:rsid w:val="00F527CC"/>
    <w:pPr>
      <w:spacing w:after="100"/>
      <w:ind w:left="660"/>
    </w:pPr>
  </w:style>
  <w:style w:type="paragraph" w:customStyle="1" w:styleId="Heading1NonNumbNoTOC">
    <w:name w:val="Heading 1 Non Numb No TOC"/>
    <w:basedOn w:val="Normal"/>
    <w:next w:val="Normal"/>
    <w:uiPriority w:val="10"/>
    <w:unhideWhenUsed/>
    <w:qFormat/>
    <w:rsid w:val="00E80CEF"/>
    <w:pPr>
      <w:keepNext/>
      <w:pageBreakBefore/>
      <w:spacing w:before="260" w:after="1000" w:line="420" w:lineRule="atLeast"/>
    </w:pPr>
    <w:rPr>
      <w:rFonts w:ascii="Arial" w:eastAsiaTheme="minorHAnsi" w:hAnsi="Arial" w:cs="Arial"/>
      <w:sz w:val="36"/>
      <w:szCs w:val="36"/>
      <w:lang w:val="en-US"/>
    </w:rPr>
  </w:style>
  <w:style w:type="paragraph" w:customStyle="1" w:styleId="CoverPageTitle">
    <w:name w:val="Cover Page Title"/>
    <w:basedOn w:val="Normal"/>
    <w:uiPriority w:val="53"/>
    <w:qFormat/>
    <w:rsid w:val="00E80CEF"/>
    <w:pPr>
      <w:spacing w:before="200" w:after="200" w:line="240" w:lineRule="atLeast"/>
      <w:contextualSpacing/>
      <w:jc w:val="center"/>
    </w:pPr>
    <w:rPr>
      <w:rFonts w:ascii="Arial" w:eastAsiaTheme="minorHAnsi" w:hAnsi="Arial"/>
      <w:bCs/>
      <w:color w:val="1E1E1E" w:themeColor="background2"/>
      <w:kern w:val="40"/>
      <w:sz w:val="80"/>
      <w:szCs w:val="80"/>
      <w:lang w:val="en-US"/>
    </w:rPr>
  </w:style>
  <w:style w:type="paragraph" w:customStyle="1" w:styleId="CoverPageDate">
    <w:name w:val="Cover Page Date"/>
    <w:basedOn w:val="Normal"/>
    <w:uiPriority w:val="53"/>
    <w:qFormat/>
    <w:rsid w:val="00E80CEF"/>
    <w:pPr>
      <w:spacing w:line="240" w:lineRule="atLeast"/>
      <w:jc w:val="center"/>
    </w:pPr>
    <w:rPr>
      <w:rFonts w:ascii="Arial" w:eastAsiaTheme="minorHAnsi" w:hAnsi="Arial"/>
      <w:b/>
      <w:caps/>
      <w:sz w:val="22"/>
      <w:szCs w:val="22"/>
      <w:lang w:val="en-US"/>
    </w:rPr>
  </w:style>
  <w:style w:type="paragraph" w:styleId="BalloonText">
    <w:name w:val="Balloon Text"/>
    <w:basedOn w:val="Normal"/>
    <w:link w:val="BalloonTextChar"/>
    <w:uiPriority w:val="99"/>
    <w:semiHidden/>
    <w:unhideWhenUsed/>
    <w:rsid w:val="00F52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CC"/>
    <w:rPr>
      <w:rFonts w:ascii="Segoe UI" w:hAnsi="Segoe UI" w:cs="Segoe UI"/>
      <w:sz w:val="18"/>
      <w:szCs w:val="18"/>
      <w:lang w:val="en-US"/>
    </w:rPr>
  </w:style>
  <w:style w:type="paragraph" w:styleId="BodyTextIndent">
    <w:name w:val="Body Text Indent"/>
    <w:basedOn w:val="Normal"/>
    <w:link w:val="BodyTextIndentChar"/>
    <w:uiPriority w:val="34"/>
    <w:rsid w:val="00F527CC"/>
    <w:pPr>
      <w:ind w:left="397"/>
    </w:pPr>
    <w:rPr>
      <w:noProof/>
    </w:rPr>
  </w:style>
  <w:style w:type="character" w:customStyle="1" w:styleId="BodyTextIndentChar">
    <w:name w:val="Body Text Indent Char"/>
    <w:basedOn w:val="DefaultParagraphFont"/>
    <w:link w:val="BodyTextIndent"/>
    <w:uiPriority w:val="34"/>
    <w:rsid w:val="00F527CC"/>
    <w:rPr>
      <w:noProof/>
      <w:lang w:val="en-US"/>
    </w:rPr>
  </w:style>
  <w:style w:type="paragraph" w:styleId="BodyTextIndent2">
    <w:name w:val="Body Text Indent 2"/>
    <w:basedOn w:val="BodyTextIndent"/>
    <w:link w:val="BodyTextIndent2Char"/>
    <w:uiPriority w:val="34"/>
    <w:rsid w:val="00F527CC"/>
    <w:pPr>
      <w:ind w:left="794"/>
    </w:pPr>
  </w:style>
  <w:style w:type="character" w:customStyle="1" w:styleId="BodyTextIndent2Char">
    <w:name w:val="Body Text Indent 2 Char"/>
    <w:basedOn w:val="DefaultParagraphFont"/>
    <w:link w:val="BodyTextIndent2"/>
    <w:uiPriority w:val="34"/>
    <w:rsid w:val="00F527CC"/>
    <w:rPr>
      <w:noProof/>
      <w:lang w:val="en-US"/>
    </w:rPr>
  </w:style>
  <w:style w:type="paragraph" w:customStyle="1" w:styleId="HeaderHidden">
    <w:name w:val="HeaderHidden"/>
    <w:basedOn w:val="Header"/>
    <w:uiPriority w:val="5"/>
    <w:qFormat/>
    <w:rsid w:val="00E80CEF"/>
    <w:rPr>
      <w:rFonts w:ascii="Arial" w:eastAsiaTheme="minorHAnsi" w:hAnsi="Arial"/>
      <w:color w:val="FFFFFF" w:themeColor="text2"/>
      <w:sz w:val="22"/>
      <w:szCs w:val="22"/>
      <w:lang w:val="en-US"/>
    </w:rPr>
  </w:style>
  <w:style w:type="character" w:customStyle="1" w:styleId="Heading3Char">
    <w:name w:val="Heading 3 Char"/>
    <w:basedOn w:val="DefaultParagraphFont"/>
    <w:link w:val="Heading3"/>
    <w:uiPriority w:val="9"/>
    <w:semiHidden/>
    <w:rsid w:val="00F527CC"/>
    <w:rPr>
      <w:rFonts w:asciiTheme="majorHAnsi" w:eastAsiaTheme="majorEastAsia" w:hAnsiTheme="majorHAnsi" w:cstheme="majorBidi"/>
      <w:color w:val="FFFFFF" w:themeColor="text2"/>
      <w:sz w:val="24"/>
      <w:szCs w:val="24"/>
    </w:rPr>
  </w:style>
  <w:style w:type="character" w:customStyle="1" w:styleId="Heading4Char">
    <w:name w:val="Heading 4 Char"/>
    <w:basedOn w:val="DefaultParagraphFont"/>
    <w:link w:val="Heading4"/>
    <w:uiPriority w:val="9"/>
    <w:semiHidden/>
    <w:rsid w:val="00F527CC"/>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F527CC"/>
    <w:rPr>
      <w:rFonts w:asciiTheme="majorHAnsi" w:eastAsiaTheme="majorEastAsia" w:hAnsiTheme="majorHAnsi" w:cstheme="majorBidi"/>
      <w:color w:val="FFFFFF" w:themeColor="text2"/>
    </w:rPr>
  </w:style>
  <w:style w:type="character" w:customStyle="1" w:styleId="Heading6Char">
    <w:name w:val="Heading 6 Char"/>
    <w:basedOn w:val="DefaultParagraphFont"/>
    <w:link w:val="Heading6"/>
    <w:uiPriority w:val="9"/>
    <w:semiHidden/>
    <w:rsid w:val="00F527CC"/>
    <w:rPr>
      <w:rFonts w:asciiTheme="majorHAnsi" w:eastAsiaTheme="majorEastAsia" w:hAnsiTheme="majorHAnsi" w:cstheme="majorBidi"/>
      <w:i/>
      <w:iCs/>
      <w:color w:val="FFFFFF" w:themeColor="text2"/>
      <w:sz w:val="21"/>
      <w:szCs w:val="21"/>
    </w:rPr>
  </w:style>
  <w:style w:type="character" w:customStyle="1" w:styleId="Heading7Char">
    <w:name w:val="Heading 7 Char"/>
    <w:basedOn w:val="DefaultParagraphFont"/>
    <w:link w:val="Heading7"/>
    <w:uiPriority w:val="9"/>
    <w:semiHidden/>
    <w:rsid w:val="00F527CC"/>
    <w:rPr>
      <w:rFonts w:asciiTheme="majorHAnsi" w:eastAsiaTheme="majorEastAsia" w:hAnsiTheme="majorHAnsi" w:cstheme="majorBidi"/>
      <w:i/>
      <w:iCs/>
      <w:color w:val="616367" w:themeColor="accent1" w:themeShade="80"/>
      <w:sz w:val="21"/>
      <w:szCs w:val="21"/>
    </w:rPr>
  </w:style>
  <w:style w:type="character" w:customStyle="1" w:styleId="Heading8Char">
    <w:name w:val="Heading 8 Char"/>
    <w:basedOn w:val="DefaultParagraphFont"/>
    <w:link w:val="Heading8"/>
    <w:uiPriority w:val="9"/>
    <w:semiHidden/>
    <w:rsid w:val="00F527CC"/>
    <w:rPr>
      <w:rFonts w:asciiTheme="majorHAnsi" w:eastAsiaTheme="majorEastAsia" w:hAnsiTheme="majorHAnsi" w:cstheme="majorBidi"/>
      <w:b/>
      <w:bCs/>
      <w:color w:val="FFFFFF" w:themeColor="text2"/>
      <w:sz w:val="20"/>
      <w:szCs w:val="20"/>
    </w:rPr>
  </w:style>
  <w:style w:type="character" w:customStyle="1" w:styleId="Heading9Char">
    <w:name w:val="Heading 9 Char"/>
    <w:basedOn w:val="DefaultParagraphFont"/>
    <w:link w:val="Heading9"/>
    <w:uiPriority w:val="9"/>
    <w:semiHidden/>
    <w:rsid w:val="00F527CC"/>
    <w:rPr>
      <w:rFonts w:asciiTheme="majorHAnsi" w:eastAsiaTheme="majorEastAsia" w:hAnsiTheme="majorHAnsi" w:cstheme="majorBidi"/>
      <w:b/>
      <w:bCs/>
      <w:i/>
      <w:iCs/>
      <w:color w:val="FFFFFF" w:themeColor="text2"/>
      <w:sz w:val="20"/>
      <w:szCs w:val="20"/>
    </w:rPr>
  </w:style>
  <w:style w:type="numbering" w:styleId="111111">
    <w:name w:val="Outline List 2"/>
    <w:basedOn w:val="NoList"/>
    <w:uiPriority w:val="99"/>
    <w:semiHidden/>
    <w:unhideWhenUsed/>
    <w:rsid w:val="00F527CC"/>
    <w:pPr>
      <w:numPr>
        <w:numId w:val="15"/>
      </w:numPr>
    </w:pPr>
  </w:style>
  <w:style w:type="numbering" w:styleId="1ai">
    <w:name w:val="Outline List 1"/>
    <w:basedOn w:val="NoList"/>
    <w:uiPriority w:val="99"/>
    <w:semiHidden/>
    <w:unhideWhenUsed/>
    <w:rsid w:val="00F527CC"/>
    <w:pPr>
      <w:numPr>
        <w:numId w:val="16"/>
      </w:numPr>
    </w:pPr>
  </w:style>
  <w:style w:type="numbering" w:styleId="ArticleSection">
    <w:name w:val="Outline List 3"/>
    <w:basedOn w:val="NoList"/>
    <w:uiPriority w:val="99"/>
    <w:semiHidden/>
    <w:unhideWhenUsed/>
    <w:rsid w:val="00F527CC"/>
    <w:pPr>
      <w:numPr>
        <w:numId w:val="17"/>
      </w:numPr>
    </w:pPr>
  </w:style>
  <w:style w:type="paragraph" w:styleId="Bibliography">
    <w:name w:val="Bibliography"/>
    <w:basedOn w:val="Normal"/>
    <w:next w:val="Normal"/>
    <w:uiPriority w:val="37"/>
    <w:semiHidden/>
    <w:unhideWhenUsed/>
    <w:rsid w:val="00F527CC"/>
  </w:style>
  <w:style w:type="paragraph" w:styleId="BlockText">
    <w:name w:val="Block Text"/>
    <w:basedOn w:val="Normal"/>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cs="Arial"/>
      <w:i/>
      <w:iCs/>
      <w:color w:val="C7C8CA" w:themeColor="accent1"/>
    </w:rPr>
  </w:style>
  <w:style w:type="paragraph" w:styleId="BodyText">
    <w:name w:val="Body Text"/>
    <w:basedOn w:val="Normal"/>
    <w:link w:val="BodyTextChar"/>
    <w:uiPriority w:val="99"/>
    <w:semiHidden/>
    <w:unhideWhenUsed/>
    <w:rsid w:val="00F527CC"/>
  </w:style>
  <w:style w:type="character" w:customStyle="1" w:styleId="BodyTextChar">
    <w:name w:val="Body Text Char"/>
    <w:basedOn w:val="DefaultParagraphFont"/>
    <w:link w:val="BodyText"/>
    <w:uiPriority w:val="99"/>
    <w:semiHidden/>
    <w:rsid w:val="00F527CC"/>
    <w:rPr>
      <w:lang w:val="en-US"/>
    </w:rPr>
  </w:style>
  <w:style w:type="paragraph" w:styleId="BodyText2">
    <w:name w:val="Body Text 2"/>
    <w:basedOn w:val="Normal"/>
    <w:link w:val="BodyText2Char"/>
    <w:uiPriority w:val="99"/>
    <w:semiHidden/>
    <w:unhideWhenUsed/>
    <w:rsid w:val="00F527CC"/>
    <w:pPr>
      <w:spacing w:line="480" w:lineRule="auto"/>
    </w:pPr>
  </w:style>
  <w:style w:type="character" w:customStyle="1" w:styleId="BodyText2Char">
    <w:name w:val="Body Text 2 Char"/>
    <w:basedOn w:val="DefaultParagraphFont"/>
    <w:link w:val="BodyText2"/>
    <w:uiPriority w:val="99"/>
    <w:semiHidden/>
    <w:rsid w:val="00F527CC"/>
    <w:rPr>
      <w:lang w:val="en-US"/>
    </w:rPr>
  </w:style>
  <w:style w:type="paragraph" w:styleId="BodyText3">
    <w:name w:val="Body Text 3"/>
    <w:basedOn w:val="Normal"/>
    <w:link w:val="BodyText3Char"/>
    <w:uiPriority w:val="99"/>
    <w:semiHidden/>
    <w:unhideWhenUsed/>
    <w:rsid w:val="00F527CC"/>
    <w:rPr>
      <w:sz w:val="16"/>
      <w:szCs w:val="16"/>
    </w:rPr>
  </w:style>
  <w:style w:type="character" w:customStyle="1" w:styleId="BodyText3Char">
    <w:name w:val="Body Text 3 Char"/>
    <w:basedOn w:val="DefaultParagraphFont"/>
    <w:link w:val="BodyText3"/>
    <w:uiPriority w:val="99"/>
    <w:semiHidden/>
    <w:rsid w:val="00F527CC"/>
    <w:rPr>
      <w:sz w:val="16"/>
      <w:szCs w:val="16"/>
      <w:lang w:val="en-US"/>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en-US"/>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en-US"/>
    </w:rPr>
  </w:style>
  <w:style w:type="paragraph" w:styleId="BodyTextIndent3">
    <w:name w:val="Body Text Indent 3"/>
    <w:basedOn w:val="Normal"/>
    <w:link w:val="BodyTextIndent3Char"/>
    <w:uiPriority w:val="99"/>
    <w:semiHidden/>
    <w:unhideWhenUsed/>
    <w:rsid w:val="00F527CC"/>
    <w:pPr>
      <w:ind w:left="283"/>
    </w:pPr>
    <w:rPr>
      <w:sz w:val="16"/>
      <w:szCs w:val="16"/>
    </w:rPr>
  </w:style>
  <w:style w:type="character" w:customStyle="1" w:styleId="BodyTextIndent3Char">
    <w:name w:val="Body Text Indent 3 Char"/>
    <w:basedOn w:val="DefaultParagraphFont"/>
    <w:link w:val="BodyTextIndent3"/>
    <w:uiPriority w:val="99"/>
    <w:semiHidden/>
    <w:rsid w:val="00F527CC"/>
    <w:rPr>
      <w:sz w:val="16"/>
      <w:szCs w:val="16"/>
      <w:lang w:val="en-US"/>
    </w:rPr>
  </w:style>
  <w:style w:type="character" w:styleId="BookTitle">
    <w:name w:val="Book Title"/>
    <w:basedOn w:val="DefaultParagraphFont"/>
    <w:uiPriority w:val="33"/>
    <w:qFormat/>
    <w:rsid w:val="00B635F9"/>
    <w:rPr>
      <w:b/>
      <w:bCs/>
      <w:smallCaps/>
    </w:rPr>
  </w:style>
  <w:style w:type="paragraph" w:styleId="Caption">
    <w:name w:val="caption"/>
    <w:basedOn w:val="Normal"/>
    <w:next w:val="Normal"/>
    <w:uiPriority w:val="35"/>
    <w:unhideWhenUsed/>
    <w:qFormat/>
    <w:rsid w:val="00B635F9"/>
    <w:pPr>
      <w:spacing w:line="240" w:lineRule="auto"/>
    </w:pPr>
    <w:rPr>
      <w:b/>
      <w:bCs/>
      <w:smallCaps/>
      <w:color w:val="828282" w:themeColor="text1" w:themeTint="A6"/>
      <w:spacing w:val="6"/>
    </w:rPr>
  </w:style>
  <w:style w:type="paragraph" w:styleId="Closing">
    <w:name w:val="Closing"/>
    <w:basedOn w:val="Normal"/>
    <w:link w:val="ClosingChar"/>
    <w:uiPriority w:val="99"/>
    <w:semiHidden/>
    <w:unhideWhenUsed/>
    <w:rsid w:val="00F527CC"/>
    <w:pPr>
      <w:spacing w:after="0" w:line="240" w:lineRule="auto"/>
      <w:ind w:left="4252"/>
    </w:pPr>
  </w:style>
  <w:style w:type="character" w:customStyle="1" w:styleId="ClosingChar">
    <w:name w:val="Closing Char"/>
    <w:basedOn w:val="DefaultParagraphFont"/>
    <w:link w:val="Closing"/>
    <w:uiPriority w:val="99"/>
    <w:semiHidden/>
    <w:rsid w:val="00F527CC"/>
    <w:rPr>
      <w:lang w:val="en-US"/>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unhideWhenUsed/>
    <w:rsid w:val="00F527CC"/>
    <w:rPr>
      <w:sz w:val="16"/>
      <w:szCs w:val="16"/>
      <w:lang w:val="en-US"/>
    </w:rPr>
  </w:style>
  <w:style w:type="paragraph" w:styleId="CommentText">
    <w:name w:val="annotation text"/>
    <w:basedOn w:val="Normal"/>
    <w:link w:val="CommentTextChar"/>
    <w:uiPriority w:val="99"/>
    <w:unhideWhenUsed/>
    <w:rsid w:val="00E80CEF"/>
    <w:pPr>
      <w:spacing w:line="240" w:lineRule="auto"/>
    </w:pPr>
    <w:rPr>
      <w:rFonts w:ascii="Arial" w:eastAsiaTheme="minorHAnsi" w:hAnsi="Arial"/>
      <w:lang w:val="en-US"/>
    </w:rPr>
  </w:style>
  <w:style w:type="character" w:customStyle="1" w:styleId="CommentTextChar">
    <w:name w:val="Comment Text Char"/>
    <w:basedOn w:val="DefaultParagraphFont"/>
    <w:link w:val="CommentText"/>
    <w:uiPriority w:val="99"/>
    <w:rsid w:val="00F527CC"/>
    <w:rPr>
      <w:sz w:val="20"/>
      <w:szCs w:val="20"/>
      <w:lang w:val="en-US"/>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en-US"/>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DocumentMap">
    <w:name w:val="Document Map"/>
    <w:basedOn w:val="Normal"/>
    <w:link w:val="DocumentMapChar"/>
    <w:uiPriority w:val="99"/>
    <w:semiHidden/>
    <w:unhideWhenUsed/>
    <w:rsid w:val="00F527C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527CC"/>
    <w:pPr>
      <w:spacing w:after="0" w:line="240" w:lineRule="auto"/>
    </w:pPr>
  </w:style>
  <w:style w:type="character" w:customStyle="1" w:styleId="E-mailSignatureChar">
    <w:name w:val="E-mail Signature Char"/>
    <w:basedOn w:val="DefaultParagraphFont"/>
    <w:link w:val="E-mailSignature"/>
    <w:uiPriority w:val="99"/>
    <w:semiHidden/>
    <w:rsid w:val="00F527CC"/>
    <w:rPr>
      <w:lang w:val="en-US"/>
    </w:rPr>
  </w:style>
  <w:style w:type="character" w:styleId="Emphasis">
    <w:name w:val="Emphasis"/>
    <w:basedOn w:val="DefaultParagraphFont"/>
    <w:uiPriority w:val="20"/>
    <w:qFormat/>
    <w:rsid w:val="00F527CC"/>
    <w:rPr>
      <w:i/>
      <w:iCs/>
      <w:lang w:val="en-US"/>
    </w:rPr>
  </w:style>
  <w:style w:type="paragraph" w:styleId="EnvelopeAddress">
    <w:name w:val="envelope address"/>
    <w:basedOn w:val="Normal"/>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E80CEF"/>
    <w:pPr>
      <w:spacing w:after="0" w:line="240" w:lineRule="auto"/>
    </w:pPr>
    <w:rPr>
      <w:rFonts w:ascii="Arial" w:eastAsiaTheme="majorEastAsia" w:hAnsi="Arial" w:cs="Arial"/>
      <w:lang w:val="en-US"/>
    </w:rPr>
  </w:style>
  <w:style w:type="character" w:styleId="FollowedHyperlink">
    <w:name w:val="FollowedHyperlink"/>
    <w:basedOn w:val="DefaultParagraphFont"/>
    <w:uiPriority w:val="99"/>
    <w:semiHidden/>
    <w:unhideWhenUsed/>
    <w:rsid w:val="00F527CC"/>
    <w:rPr>
      <w:color w:val="954F72" w:themeColor="followedHyperlink"/>
      <w:u w:val="single"/>
      <w:lang w:val="en-US"/>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Acronym">
    <w:name w:val="HTML Acronym"/>
    <w:basedOn w:val="DefaultParagraphFont"/>
    <w:uiPriority w:val="99"/>
    <w:semiHidden/>
    <w:unhideWhenUsed/>
    <w:rsid w:val="00F527CC"/>
    <w:rPr>
      <w:lang w:val="en-US"/>
    </w:rPr>
  </w:style>
  <w:style w:type="paragraph" w:styleId="HTMLAddress">
    <w:name w:val="HTML Address"/>
    <w:basedOn w:val="Normal"/>
    <w:link w:val="HTMLAddressChar"/>
    <w:uiPriority w:val="99"/>
    <w:semiHidden/>
    <w:unhideWhenUsed/>
    <w:rsid w:val="00F527CC"/>
    <w:pPr>
      <w:spacing w:after="0" w:line="240" w:lineRule="auto"/>
    </w:pPr>
    <w:rPr>
      <w:i/>
      <w:iCs/>
    </w:rPr>
  </w:style>
  <w:style w:type="character" w:customStyle="1" w:styleId="HTMLAddressChar">
    <w:name w:val="HTML Address Char"/>
    <w:basedOn w:val="DefaultParagraphFont"/>
    <w:link w:val="HTMLAddress"/>
    <w:uiPriority w:val="99"/>
    <w:semiHidden/>
    <w:rsid w:val="00F527CC"/>
    <w:rPr>
      <w:i/>
      <w:iCs/>
      <w:lang w:val="en-US"/>
    </w:rPr>
  </w:style>
  <w:style w:type="character" w:styleId="HTMLCite">
    <w:name w:val="HTML Cite"/>
    <w:basedOn w:val="DefaultParagraphFont"/>
    <w:uiPriority w:val="99"/>
    <w:semiHidden/>
    <w:unhideWhenUsed/>
    <w:rsid w:val="00F527CC"/>
    <w:rPr>
      <w:i/>
      <w:iCs/>
      <w:lang w:val="en-US"/>
    </w:rPr>
  </w:style>
  <w:style w:type="character" w:styleId="HTMLCode">
    <w:name w:val="HTML Code"/>
    <w:basedOn w:val="DefaultParagraphFont"/>
    <w:uiPriority w:val="99"/>
    <w:semiHidden/>
    <w:unhideWhenUsed/>
    <w:rsid w:val="00F527CC"/>
    <w:rPr>
      <w:rFonts w:ascii="Consolas" w:hAnsi="Consolas"/>
      <w:sz w:val="20"/>
      <w:szCs w:val="20"/>
      <w:lang w:val="en-US"/>
    </w:rPr>
  </w:style>
  <w:style w:type="character" w:styleId="HTMLDefinition">
    <w:name w:val="HTML Definition"/>
    <w:basedOn w:val="DefaultParagraphFont"/>
    <w:uiPriority w:val="99"/>
    <w:semiHidden/>
    <w:unhideWhenUsed/>
    <w:rsid w:val="00F527CC"/>
    <w:rPr>
      <w:i/>
      <w:iCs/>
      <w:lang w:val="en-US"/>
    </w:rPr>
  </w:style>
  <w:style w:type="character" w:styleId="HTMLKeyboard">
    <w:name w:val="HTML Keyboard"/>
    <w:basedOn w:val="DefaultParagraphFont"/>
    <w:uiPriority w:val="99"/>
    <w:semiHidden/>
    <w:unhideWhenUsed/>
    <w:rsid w:val="00F527CC"/>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E80CEF"/>
    <w:pPr>
      <w:spacing w:after="0" w:line="240" w:lineRule="auto"/>
    </w:pPr>
    <w:rPr>
      <w:rFonts w:ascii="Consolas" w:eastAsiaTheme="minorHAnsi" w:hAnsi="Consolas"/>
      <w:lang w:val="en-US"/>
    </w:rPr>
  </w:style>
  <w:style w:type="character" w:customStyle="1" w:styleId="HTMLPreformattedChar">
    <w:name w:val="HTML Preformatted Char"/>
    <w:basedOn w:val="DefaultParagraphFont"/>
    <w:link w:val="HTMLPreformatted"/>
    <w:uiPriority w:val="99"/>
    <w:semiHidden/>
    <w:rsid w:val="00F527CC"/>
    <w:rPr>
      <w:rFonts w:ascii="Consolas" w:hAnsi="Consolas"/>
      <w:sz w:val="20"/>
      <w:szCs w:val="20"/>
      <w:lang w:val="en-US"/>
    </w:rPr>
  </w:style>
  <w:style w:type="character" w:styleId="HTMLSample">
    <w:name w:val="HTML Sample"/>
    <w:basedOn w:val="DefaultParagraphFont"/>
    <w:uiPriority w:val="99"/>
    <w:semiHidden/>
    <w:unhideWhenUsed/>
    <w:rsid w:val="00F527CC"/>
    <w:rPr>
      <w:rFonts w:ascii="Consolas" w:hAnsi="Consolas"/>
      <w:sz w:val="24"/>
      <w:szCs w:val="24"/>
      <w:lang w:val="en-US"/>
    </w:rPr>
  </w:style>
  <w:style w:type="character" w:styleId="HTMLTypewriter">
    <w:name w:val="HTML Typewriter"/>
    <w:basedOn w:val="DefaultParagraphFont"/>
    <w:uiPriority w:val="99"/>
    <w:semiHidden/>
    <w:unhideWhenUsed/>
    <w:rsid w:val="00F527CC"/>
    <w:rPr>
      <w:rFonts w:ascii="Consolas" w:hAnsi="Consolas"/>
      <w:sz w:val="20"/>
      <w:szCs w:val="20"/>
      <w:lang w:val="en-US"/>
    </w:rPr>
  </w:style>
  <w:style w:type="character" w:styleId="HTMLVariable">
    <w:name w:val="HTML Variable"/>
    <w:basedOn w:val="DefaultParagraphFont"/>
    <w:uiPriority w:val="99"/>
    <w:semiHidden/>
    <w:unhideWhenUsed/>
    <w:rsid w:val="00F527CC"/>
    <w:rPr>
      <w:i/>
      <w:iCs/>
      <w:lang w:val="en-US"/>
    </w:rPr>
  </w:style>
  <w:style w:type="paragraph" w:styleId="Index1">
    <w:name w:val="index 1"/>
    <w:basedOn w:val="Normal"/>
    <w:next w:val="Normal"/>
    <w:autoRedefine/>
    <w:uiPriority w:val="99"/>
    <w:semiHidden/>
    <w:unhideWhenUsed/>
    <w:rsid w:val="00F527CC"/>
    <w:pPr>
      <w:spacing w:after="0" w:line="240" w:lineRule="auto"/>
      <w:ind w:left="220" w:hanging="220"/>
    </w:pPr>
  </w:style>
  <w:style w:type="paragraph" w:styleId="Index2">
    <w:name w:val="index 2"/>
    <w:basedOn w:val="Normal"/>
    <w:next w:val="Normal"/>
    <w:autoRedefine/>
    <w:uiPriority w:val="99"/>
    <w:semiHidden/>
    <w:unhideWhenUsed/>
    <w:rsid w:val="00F527CC"/>
    <w:pPr>
      <w:spacing w:after="0" w:line="240" w:lineRule="auto"/>
      <w:ind w:left="440" w:hanging="220"/>
    </w:pPr>
  </w:style>
  <w:style w:type="paragraph" w:styleId="Index3">
    <w:name w:val="index 3"/>
    <w:basedOn w:val="Normal"/>
    <w:next w:val="Normal"/>
    <w:autoRedefine/>
    <w:uiPriority w:val="99"/>
    <w:semiHidden/>
    <w:unhideWhenUsed/>
    <w:rsid w:val="00F527CC"/>
    <w:pPr>
      <w:spacing w:after="0" w:line="240" w:lineRule="auto"/>
      <w:ind w:left="660" w:hanging="220"/>
    </w:pPr>
  </w:style>
  <w:style w:type="paragraph" w:styleId="Index4">
    <w:name w:val="index 4"/>
    <w:basedOn w:val="Normal"/>
    <w:next w:val="Normal"/>
    <w:autoRedefine/>
    <w:uiPriority w:val="99"/>
    <w:semiHidden/>
    <w:unhideWhenUsed/>
    <w:rsid w:val="00F527CC"/>
    <w:pPr>
      <w:spacing w:after="0" w:line="240" w:lineRule="auto"/>
      <w:ind w:left="880" w:hanging="220"/>
    </w:pPr>
  </w:style>
  <w:style w:type="paragraph" w:styleId="Index5">
    <w:name w:val="index 5"/>
    <w:basedOn w:val="Normal"/>
    <w:next w:val="Normal"/>
    <w:autoRedefine/>
    <w:uiPriority w:val="99"/>
    <w:semiHidden/>
    <w:unhideWhenUsed/>
    <w:rsid w:val="00F527CC"/>
    <w:pPr>
      <w:spacing w:after="0" w:line="240" w:lineRule="auto"/>
      <w:ind w:left="1100" w:hanging="220"/>
    </w:pPr>
  </w:style>
  <w:style w:type="paragraph" w:styleId="Index6">
    <w:name w:val="index 6"/>
    <w:basedOn w:val="Normal"/>
    <w:next w:val="Normal"/>
    <w:autoRedefine/>
    <w:uiPriority w:val="99"/>
    <w:semiHidden/>
    <w:unhideWhenUsed/>
    <w:rsid w:val="00F527CC"/>
    <w:pPr>
      <w:spacing w:after="0" w:line="240" w:lineRule="auto"/>
      <w:ind w:left="1320" w:hanging="220"/>
    </w:pPr>
  </w:style>
  <w:style w:type="paragraph" w:styleId="Index7">
    <w:name w:val="index 7"/>
    <w:basedOn w:val="Normal"/>
    <w:next w:val="Normal"/>
    <w:autoRedefine/>
    <w:uiPriority w:val="99"/>
    <w:semiHidden/>
    <w:unhideWhenUsed/>
    <w:rsid w:val="00F527CC"/>
    <w:pPr>
      <w:spacing w:after="0" w:line="240" w:lineRule="auto"/>
      <w:ind w:left="1540" w:hanging="220"/>
    </w:pPr>
  </w:style>
  <w:style w:type="paragraph" w:styleId="Index8">
    <w:name w:val="index 8"/>
    <w:basedOn w:val="Normal"/>
    <w:next w:val="Normal"/>
    <w:autoRedefine/>
    <w:uiPriority w:val="99"/>
    <w:semiHidden/>
    <w:unhideWhenUsed/>
    <w:rsid w:val="00F527CC"/>
    <w:pPr>
      <w:spacing w:after="0" w:line="240" w:lineRule="auto"/>
      <w:ind w:left="1760" w:hanging="220"/>
    </w:pPr>
  </w:style>
  <w:style w:type="paragraph" w:styleId="Index9">
    <w:name w:val="index 9"/>
    <w:basedOn w:val="Normal"/>
    <w:next w:val="Normal"/>
    <w:autoRedefine/>
    <w:uiPriority w:val="99"/>
    <w:semiHidden/>
    <w:unhideWhenUsed/>
    <w:rsid w:val="00F527CC"/>
    <w:pPr>
      <w:spacing w:after="0" w:line="240" w:lineRule="auto"/>
      <w:ind w:left="1980" w:hanging="220"/>
    </w:pPr>
  </w:style>
  <w:style w:type="paragraph" w:styleId="IndexHeading">
    <w:name w:val="index heading"/>
    <w:basedOn w:val="Normal"/>
    <w:next w:val="Index1"/>
    <w:uiPriority w:val="99"/>
    <w:semiHidden/>
    <w:unhideWhenUsed/>
    <w:rsid w:val="00F527CC"/>
    <w:rPr>
      <w:rFonts w:eastAsiaTheme="majorEastAsia" w:cs="Arial"/>
      <w:b/>
      <w:bCs/>
    </w:rPr>
  </w:style>
  <w:style w:type="character" w:styleId="IntenseEmphasis">
    <w:name w:val="Intense Emphasis"/>
    <w:basedOn w:val="DefaultParagraphFont"/>
    <w:uiPriority w:val="21"/>
    <w:qFormat/>
    <w:rsid w:val="00B635F9"/>
    <w:rPr>
      <w:b/>
      <w:bCs/>
      <w:i/>
      <w:iCs/>
    </w:rPr>
  </w:style>
  <w:style w:type="paragraph" w:styleId="IntenseQuote">
    <w:name w:val="Intense Quote"/>
    <w:basedOn w:val="Normal"/>
    <w:next w:val="Normal"/>
    <w:link w:val="IntenseQuoteChar"/>
    <w:uiPriority w:val="30"/>
    <w:qFormat/>
    <w:rsid w:val="00B635F9"/>
    <w:pPr>
      <w:pBdr>
        <w:left w:val="single" w:sz="18" w:space="12" w:color="C7C8CA" w:themeColor="accent1"/>
      </w:pBdr>
      <w:spacing w:before="100" w:beforeAutospacing="1" w:line="300" w:lineRule="auto"/>
      <w:ind w:left="1224" w:right="1224"/>
    </w:pPr>
    <w:rPr>
      <w:rFonts w:asciiTheme="majorHAnsi" w:eastAsiaTheme="majorEastAsia" w:hAnsiTheme="majorHAnsi" w:cstheme="majorBidi"/>
      <w:color w:val="C7C8CA" w:themeColor="accent1"/>
      <w:sz w:val="28"/>
      <w:szCs w:val="28"/>
    </w:rPr>
  </w:style>
  <w:style w:type="character" w:customStyle="1" w:styleId="IntenseQuoteChar">
    <w:name w:val="Intense Quote Char"/>
    <w:basedOn w:val="DefaultParagraphFont"/>
    <w:link w:val="IntenseQuote"/>
    <w:uiPriority w:val="30"/>
    <w:rsid w:val="00F527CC"/>
    <w:rPr>
      <w:rFonts w:asciiTheme="majorHAnsi" w:eastAsiaTheme="majorEastAsia" w:hAnsiTheme="majorHAnsi" w:cstheme="majorBidi"/>
      <w:color w:val="C7C8CA" w:themeColor="accent1"/>
      <w:sz w:val="28"/>
      <w:szCs w:val="28"/>
    </w:rPr>
  </w:style>
  <w:style w:type="character" w:styleId="IntenseReference">
    <w:name w:val="Intense Reference"/>
    <w:basedOn w:val="DefaultParagraphFont"/>
    <w:uiPriority w:val="32"/>
    <w:qFormat/>
    <w:rsid w:val="00B635F9"/>
    <w:rPr>
      <w:b/>
      <w:bCs/>
      <w:smallCaps/>
      <w:spacing w:val="5"/>
      <w:u w:val="single"/>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LineNumber">
    <w:name w:val="line number"/>
    <w:basedOn w:val="DefaultParagraphFont"/>
    <w:uiPriority w:val="99"/>
    <w:semiHidden/>
    <w:unhideWhenUsed/>
    <w:rsid w:val="00F527CC"/>
    <w:rPr>
      <w:lang w:val="en-US"/>
    </w:rPr>
  </w:style>
  <w:style w:type="paragraph" w:styleId="List">
    <w:name w:val="List"/>
    <w:basedOn w:val="Normal"/>
    <w:uiPriority w:val="99"/>
    <w:semiHidden/>
    <w:unhideWhenUsed/>
    <w:rsid w:val="00F527CC"/>
    <w:pPr>
      <w:ind w:left="283" w:hanging="283"/>
      <w:contextualSpacing/>
    </w:pPr>
  </w:style>
  <w:style w:type="paragraph" w:styleId="List2">
    <w:name w:val="List 2"/>
    <w:basedOn w:val="Normal"/>
    <w:uiPriority w:val="99"/>
    <w:semiHidden/>
    <w:unhideWhenUsed/>
    <w:rsid w:val="00F527CC"/>
    <w:pPr>
      <w:ind w:left="566" w:hanging="283"/>
      <w:contextualSpacing/>
    </w:pPr>
  </w:style>
  <w:style w:type="paragraph" w:styleId="List3">
    <w:name w:val="List 3"/>
    <w:basedOn w:val="Normal"/>
    <w:uiPriority w:val="99"/>
    <w:semiHidden/>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iPriority w:val="99"/>
    <w:semiHidden/>
    <w:unhideWhenUsed/>
    <w:rsid w:val="00F527CC"/>
    <w:pPr>
      <w:numPr>
        <w:numId w:val="1"/>
      </w:numPr>
      <w:contextualSpacing/>
    </w:pPr>
  </w:style>
  <w:style w:type="paragraph" w:styleId="ListBullet2">
    <w:name w:val="List Bullet 2"/>
    <w:basedOn w:val="Normal"/>
    <w:uiPriority w:val="99"/>
    <w:semiHidden/>
    <w:unhideWhenUsed/>
    <w:rsid w:val="00F527CC"/>
    <w:pPr>
      <w:numPr>
        <w:numId w:val="2"/>
      </w:numPr>
      <w:contextualSpacing/>
    </w:pPr>
  </w:style>
  <w:style w:type="paragraph" w:styleId="ListBullet3">
    <w:name w:val="List Bullet 3"/>
    <w:basedOn w:val="Normal"/>
    <w:uiPriority w:val="99"/>
    <w:semiHidden/>
    <w:unhideWhenUsed/>
    <w:rsid w:val="00F527CC"/>
    <w:pPr>
      <w:numPr>
        <w:numId w:val="3"/>
      </w:numPr>
      <w:contextualSpacing/>
    </w:pPr>
  </w:style>
  <w:style w:type="paragraph" w:styleId="ListBullet4">
    <w:name w:val="List Bullet 4"/>
    <w:basedOn w:val="Normal"/>
    <w:uiPriority w:val="99"/>
    <w:semiHidden/>
    <w:unhideWhenUsed/>
    <w:rsid w:val="00F527CC"/>
    <w:pPr>
      <w:numPr>
        <w:numId w:val="4"/>
      </w:numPr>
      <w:contextualSpacing/>
    </w:pPr>
  </w:style>
  <w:style w:type="paragraph" w:styleId="ListBullet5">
    <w:name w:val="List Bullet 5"/>
    <w:basedOn w:val="Normal"/>
    <w:uiPriority w:val="99"/>
    <w:semiHidden/>
    <w:unhideWhenUsed/>
    <w:rsid w:val="00F527CC"/>
    <w:pPr>
      <w:numPr>
        <w:numId w:val="5"/>
      </w:numPr>
      <w:contextualSpacing/>
    </w:pPr>
  </w:style>
  <w:style w:type="paragraph" w:styleId="ListContinue">
    <w:name w:val="List Continue"/>
    <w:basedOn w:val="Normal"/>
    <w:uiPriority w:val="99"/>
    <w:semiHidden/>
    <w:unhideWhenUsed/>
    <w:rsid w:val="00F527CC"/>
    <w:pPr>
      <w:ind w:left="283"/>
      <w:contextualSpacing/>
    </w:pPr>
  </w:style>
  <w:style w:type="paragraph" w:styleId="ListContinue2">
    <w:name w:val="List Continue 2"/>
    <w:basedOn w:val="Normal"/>
    <w:uiPriority w:val="99"/>
    <w:semiHidden/>
    <w:unhideWhenUsed/>
    <w:rsid w:val="00F527CC"/>
    <w:pPr>
      <w:ind w:left="566"/>
      <w:contextualSpacing/>
    </w:pPr>
  </w:style>
  <w:style w:type="paragraph" w:styleId="ListContinue3">
    <w:name w:val="List Continue 3"/>
    <w:basedOn w:val="Normal"/>
    <w:uiPriority w:val="99"/>
    <w:semiHidden/>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6"/>
      </w:numPr>
      <w:contextualSpacing/>
    </w:pPr>
  </w:style>
  <w:style w:type="paragraph" w:styleId="ListNumber2">
    <w:name w:val="List Number 2"/>
    <w:basedOn w:val="Normal"/>
    <w:uiPriority w:val="99"/>
    <w:semiHidden/>
    <w:unhideWhenUsed/>
    <w:rsid w:val="00F527CC"/>
    <w:pPr>
      <w:numPr>
        <w:numId w:val="7"/>
      </w:numPr>
      <w:contextualSpacing/>
    </w:pPr>
  </w:style>
  <w:style w:type="paragraph" w:styleId="ListNumber3">
    <w:name w:val="List Number 3"/>
    <w:basedOn w:val="Normal"/>
    <w:uiPriority w:val="99"/>
    <w:semiHidden/>
    <w:unhideWhenUsed/>
    <w:rsid w:val="00F527CC"/>
    <w:pPr>
      <w:numPr>
        <w:numId w:val="8"/>
      </w:numPr>
      <w:contextualSpacing/>
    </w:pPr>
  </w:style>
  <w:style w:type="paragraph" w:styleId="ListNumber4">
    <w:name w:val="List Number 4"/>
    <w:basedOn w:val="Normal"/>
    <w:uiPriority w:val="99"/>
    <w:semiHidden/>
    <w:unhideWhenUsed/>
    <w:rsid w:val="00F527CC"/>
    <w:pPr>
      <w:numPr>
        <w:numId w:val="9"/>
      </w:numPr>
      <w:contextualSpacing/>
    </w:pPr>
  </w:style>
  <w:style w:type="paragraph" w:styleId="ListNumber5">
    <w:name w:val="List Number 5"/>
    <w:basedOn w:val="Normal"/>
    <w:uiPriority w:val="99"/>
    <w:semiHidden/>
    <w:unhideWhenUsed/>
    <w:rsid w:val="00F527CC"/>
    <w:pPr>
      <w:numPr>
        <w:numId w:val="10"/>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U 5"/>
    <w:basedOn w:val="Normal"/>
    <w:link w:val="ListParagraphChar"/>
    <w:uiPriority w:val="34"/>
    <w:qFormat/>
    <w:rsid w:val="00F527CC"/>
    <w:pPr>
      <w:ind w:left="720"/>
      <w:contextualSpacing/>
    </w:p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80CEF"/>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527CC"/>
    <w:rPr>
      <w:rFonts w:ascii="Consolas" w:hAnsi="Consolas"/>
      <w:sz w:val="20"/>
      <w:szCs w:val="20"/>
      <w:lang w:val="en-US"/>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semiHidden/>
    <w:unhideWhenUsed/>
    <w:rsid w:val="00F527CC"/>
    <w:rPr>
      <w:rFonts w:ascii="Times New Roman" w:hAnsi="Times New Roman" w:cs="Times New Roman"/>
      <w:sz w:val="24"/>
      <w:szCs w:val="24"/>
    </w:rPr>
  </w:style>
  <w:style w:type="paragraph" w:styleId="NormalIndent">
    <w:name w:val="Normal Indent"/>
    <w:basedOn w:val="Normal"/>
    <w:uiPriority w:val="99"/>
    <w:semiHidden/>
    <w:unhideWhenUsed/>
    <w:rsid w:val="00F527CC"/>
    <w:pPr>
      <w:ind w:left="720"/>
    </w:pPr>
  </w:style>
  <w:style w:type="paragraph" w:styleId="NoteHeading">
    <w:name w:val="Note Heading"/>
    <w:basedOn w:val="Normal"/>
    <w:next w:val="Normal"/>
    <w:link w:val="NoteHeadingChar"/>
    <w:uiPriority w:val="99"/>
    <w:semiHidden/>
    <w:unhideWhenUsed/>
    <w:rsid w:val="00F527CC"/>
    <w:pPr>
      <w:spacing w:after="0" w:line="240" w:lineRule="auto"/>
    </w:pPr>
  </w:style>
  <w:style w:type="character" w:customStyle="1" w:styleId="NoteHeadingChar">
    <w:name w:val="Note Heading Char"/>
    <w:basedOn w:val="DefaultParagraphFont"/>
    <w:link w:val="NoteHeading"/>
    <w:uiPriority w:val="99"/>
    <w:semiHidden/>
    <w:rsid w:val="00F527CC"/>
    <w:rPr>
      <w:lang w:val="en-US"/>
    </w:rPr>
  </w:style>
  <w:style w:type="character" w:styleId="PageNumber">
    <w:name w:val="page number"/>
    <w:basedOn w:val="DefaultParagraphFont"/>
    <w:uiPriority w:val="99"/>
    <w:semiHidden/>
    <w:unhideWhenUsed/>
    <w:rsid w:val="00F527CC"/>
    <w:rPr>
      <w:lang w:val="en-US"/>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en-US"/>
    </w:rPr>
  </w:style>
  <w:style w:type="paragraph" w:styleId="Salutation">
    <w:name w:val="Salutation"/>
    <w:basedOn w:val="Normal"/>
    <w:next w:val="Normal"/>
    <w:link w:val="SalutationChar"/>
    <w:uiPriority w:val="99"/>
    <w:semiHidden/>
    <w:unhideWhenUsed/>
    <w:rsid w:val="00F527CC"/>
  </w:style>
  <w:style w:type="character" w:customStyle="1" w:styleId="SalutationChar">
    <w:name w:val="Salutation Char"/>
    <w:basedOn w:val="DefaultParagraphFont"/>
    <w:link w:val="Salutation"/>
    <w:uiPriority w:val="99"/>
    <w:semiHidden/>
    <w:rsid w:val="00F527CC"/>
    <w:rPr>
      <w:lang w:val="en-US"/>
    </w:rPr>
  </w:style>
  <w:style w:type="paragraph" w:styleId="Signature">
    <w:name w:val="Signature"/>
    <w:basedOn w:val="Normal"/>
    <w:link w:val="SignatureChar"/>
    <w:uiPriority w:val="99"/>
    <w:semiHidden/>
    <w:unhideWhenUsed/>
    <w:rsid w:val="00F527CC"/>
    <w:pPr>
      <w:spacing w:after="0" w:line="240" w:lineRule="auto"/>
      <w:ind w:left="4252"/>
    </w:pPr>
  </w:style>
  <w:style w:type="character" w:customStyle="1" w:styleId="SignatureChar">
    <w:name w:val="Signature Char"/>
    <w:basedOn w:val="DefaultParagraphFont"/>
    <w:link w:val="Signature"/>
    <w:uiPriority w:val="99"/>
    <w:semiHidden/>
    <w:rsid w:val="00F527CC"/>
    <w:rPr>
      <w:lang w:val="en-US"/>
    </w:rPr>
  </w:style>
  <w:style w:type="character" w:styleId="Strong">
    <w:name w:val="Strong"/>
    <w:basedOn w:val="DefaultParagraphFont"/>
    <w:uiPriority w:val="22"/>
    <w:qFormat/>
    <w:rsid w:val="00F527CC"/>
    <w:rPr>
      <w:b/>
      <w:bCs/>
      <w:lang w:val="en-US"/>
    </w:rPr>
  </w:style>
  <w:style w:type="character" w:styleId="SubtleEmphasis">
    <w:name w:val="Subtle Emphasis"/>
    <w:basedOn w:val="DefaultParagraphFont"/>
    <w:uiPriority w:val="19"/>
    <w:qFormat/>
    <w:rsid w:val="00F527CC"/>
    <w:rPr>
      <w:i/>
      <w:iCs/>
      <w:color w:val="6F6F6F" w:themeColor="text1" w:themeTint="BF"/>
      <w:lang w:val="en-US"/>
    </w:rPr>
  </w:style>
  <w:style w:type="character" w:styleId="SubtleReference">
    <w:name w:val="Subtle Reference"/>
    <w:basedOn w:val="DefaultParagraphFont"/>
    <w:uiPriority w:val="31"/>
    <w:qFormat/>
    <w:rsid w:val="00B635F9"/>
    <w:rPr>
      <w:smallCaps/>
      <w:color w:val="6F6F6F" w:themeColor="text1" w:themeTint="BF"/>
      <w:u w:val="single" w:color="9F9F9F" w:themeColor="text1" w:themeTint="80"/>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spacing w:after="0"/>
      <w:ind w:left="220" w:hanging="220"/>
    </w:pPr>
  </w:style>
  <w:style w:type="paragraph" w:styleId="TableofFigures">
    <w:name w:val="table of figures"/>
    <w:basedOn w:val="Normal"/>
    <w:next w:val="Normal"/>
    <w:uiPriority w:val="99"/>
    <w:semiHidden/>
    <w:unhideWhenUsed/>
    <w:rsid w:val="00F527CC"/>
    <w:pPr>
      <w:spacing w:after="0"/>
    </w:pPr>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sz w:val="24"/>
      <w:szCs w:val="24"/>
    </w:rPr>
  </w:style>
  <w:style w:type="paragraph" w:styleId="TOC5">
    <w:name w:val="toc 5"/>
    <w:basedOn w:val="Normal"/>
    <w:next w:val="Normal"/>
    <w:autoRedefine/>
    <w:uiPriority w:val="39"/>
    <w:semiHidden/>
    <w:unhideWhenUsed/>
    <w:rsid w:val="00F527CC"/>
    <w:pPr>
      <w:spacing w:after="100"/>
      <w:ind w:left="880"/>
    </w:pPr>
  </w:style>
  <w:style w:type="paragraph" w:styleId="TOC6">
    <w:name w:val="toc 6"/>
    <w:basedOn w:val="Normal"/>
    <w:next w:val="Normal"/>
    <w:autoRedefine/>
    <w:uiPriority w:val="39"/>
    <w:semiHidden/>
    <w:unhideWhenUsed/>
    <w:rsid w:val="00F527CC"/>
    <w:pPr>
      <w:spacing w:after="100"/>
      <w:ind w:left="1100"/>
    </w:pPr>
  </w:style>
  <w:style w:type="paragraph" w:styleId="TOC7">
    <w:name w:val="toc 7"/>
    <w:basedOn w:val="Normal"/>
    <w:next w:val="Normal"/>
    <w:autoRedefine/>
    <w:uiPriority w:val="39"/>
    <w:semiHidden/>
    <w:unhideWhenUsed/>
    <w:rsid w:val="00F527CC"/>
    <w:pPr>
      <w:spacing w:after="100"/>
      <w:ind w:left="1320"/>
    </w:pPr>
  </w:style>
  <w:style w:type="paragraph" w:styleId="TOC8">
    <w:name w:val="toc 8"/>
    <w:basedOn w:val="Normal"/>
    <w:next w:val="Normal"/>
    <w:autoRedefine/>
    <w:uiPriority w:val="39"/>
    <w:semiHidden/>
    <w:unhideWhenUsed/>
    <w:rsid w:val="00F527CC"/>
    <w:pPr>
      <w:spacing w:after="100"/>
      <w:ind w:left="1540"/>
    </w:pPr>
  </w:style>
  <w:style w:type="paragraph" w:styleId="TOC9">
    <w:name w:val="toc 9"/>
    <w:basedOn w:val="Normal"/>
    <w:next w:val="Normal"/>
    <w:autoRedefine/>
    <w:uiPriority w:val="39"/>
    <w:semiHidden/>
    <w:unhideWhenUsed/>
    <w:rsid w:val="00F527CC"/>
    <w:pPr>
      <w:spacing w:after="100"/>
      <w:ind w:left="1760"/>
    </w:pPr>
  </w:style>
  <w:style w:type="paragraph" w:styleId="TOCHeading">
    <w:name w:val="TOC Heading"/>
    <w:basedOn w:val="Heading1"/>
    <w:next w:val="Normal"/>
    <w:uiPriority w:val="39"/>
    <w:semiHidden/>
    <w:unhideWhenUsed/>
    <w:qFormat/>
    <w:rsid w:val="00B635F9"/>
    <w:pPr>
      <w:outlineLvl w:val="9"/>
    </w:pPr>
  </w:style>
  <w:style w:type="character" w:customStyle="1" w:styleId="Mot-dise1">
    <w:name w:val="Mot-dièse1"/>
    <w:basedOn w:val="DefaultParagraphFont"/>
    <w:uiPriority w:val="99"/>
    <w:semiHidden/>
    <w:unhideWhenUsed/>
    <w:rsid w:val="009F52F1"/>
    <w:rPr>
      <w:color w:val="2B579A"/>
      <w:shd w:val="clear" w:color="auto" w:fill="E6E6E6"/>
    </w:rPr>
  </w:style>
  <w:style w:type="character" w:customStyle="1" w:styleId="Mention1">
    <w:name w:val="Mention1"/>
    <w:basedOn w:val="DefaultParagraphFont"/>
    <w:uiPriority w:val="99"/>
    <w:semiHidden/>
    <w:unhideWhenUsed/>
    <w:rsid w:val="009F52F1"/>
    <w:rPr>
      <w:color w:val="2B579A"/>
      <w:shd w:val="clear" w:color="auto" w:fill="E6E6E6"/>
    </w:rPr>
  </w:style>
  <w:style w:type="character" w:customStyle="1" w:styleId="Lienhypertexteactif1">
    <w:name w:val="Lien hypertexte actif1"/>
    <w:basedOn w:val="DefaultParagraphFont"/>
    <w:uiPriority w:val="99"/>
    <w:semiHidden/>
    <w:unhideWhenUsed/>
    <w:rsid w:val="009F52F1"/>
    <w:rPr>
      <w:u w:val="dotted"/>
    </w:rPr>
  </w:style>
  <w:style w:type="character" w:customStyle="1" w:styleId="Mentionnonrsolue1">
    <w:name w:val="Mention non résolue1"/>
    <w:basedOn w:val="DefaultParagraphFont"/>
    <w:uiPriority w:val="99"/>
    <w:semiHidden/>
    <w:unhideWhenUsed/>
    <w:rsid w:val="009F52F1"/>
    <w:rPr>
      <w:color w:val="808080"/>
      <w:shd w:val="clear" w:color="auto" w:fill="E6E6E6"/>
    </w:rPr>
  </w:style>
  <w:style w:type="table" w:customStyle="1" w:styleId="TableGrid20">
    <w:name w:val="Table Grid2"/>
    <w:basedOn w:val="TableNormal"/>
    <w:next w:val="TableGrid"/>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qFormat/>
    <w:locked/>
    <w:rsid w:val="009A6DE4"/>
    <w:rPr>
      <w:lang w:val="en-US"/>
    </w:rPr>
  </w:style>
  <w:style w:type="table" w:customStyle="1" w:styleId="TableGrid30">
    <w:name w:val="Table Grid3"/>
    <w:basedOn w:val="TableNormal"/>
    <w:next w:val="TableGrid"/>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uiPriority w:val="99"/>
    <w:semiHidden/>
    <w:locked/>
    <w:rsid w:val="004807FB"/>
    <w:rPr>
      <w:rFonts w:ascii="Arial" w:eastAsia="SimSun" w:hAnsi="Arial" w:cs="Times New Roman"/>
      <w:sz w:val="20"/>
      <w:szCs w:val="20"/>
      <w:lang w:val="en-US" w:eastAsia="zh-CN"/>
    </w:rPr>
  </w:style>
  <w:style w:type="character" w:customStyle="1" w:styleId="normaltextrun">
    <w:name w:val="normaltextrun"/>
    <w:basedOn w:val="DefaultParagraphFont"/>
    <w:rsid w:val="00D23F5A"/>
  </w:style>
  <w:style w:type="paragraph" w:customStyle="1" w:styleId="Default">
    <w:name w:val="Default"/>
    <w:link w:val="DefaultCar"/>
    <w:rsid w:val="00C13E5A"/>
    <w:pPr>
      <w:autoSpaceDE w:val="0"/>
      <w:autoSpaceDN w:val="0"/>
      <w:adjustRightInd w:val="0"/>
      <w:spacing w:after="0" w:line="240" w:lineRule="auto"/>
    </w:pPr>
    <w:rPr>
      <w:rFonts w:cs="Arial"/>
      <w:color w:val="000000"/>
      <w:sz w:val="24"/>
      <w:szCs w:val="24"/>
    </w:rPr>
  </w:style>
  <w:style w:type="paragraph" w:customStyle="1" w:styleId="bulletJBGS">
    <w:name w:val="bullet JBGS"/>
    <w:basedOn w:val="Normal"/>
    <w:link w:val="bulletJBGSCar"/>
    <w:uiPriority w:val="5"/>
    <w:qFormat/>
    <w:rsid w:val="00E80CEF"/>
    <w:pPr>
      <w:numPr>
        <w:numId w:val="28"/>
      </w:numPr>
      <w:spacing w:before="60" w:after="60" w:line="240" w:lineRule="auto"/>
    </w:pPr>
    <w:rPr>
      <w:rFonts w:ascii="Arial" w:eastAsiaTheme="minorHAnsi" w:hAnsi="Arial"/>
      <w:i/>
      <w:iCs/>
      <w:color w:val="FF0000"/>
      <w:sz w:val="18"/>
      <w:szCs w:val="18"/>
      <w:lang w:val="en-US"/>
    </w:rPr>
  </w:style>
  <w:style w:type="paragraph" w:customStyle="1" w:styleId="NormalJBGS">
    <w:name w:val="Normal JBGS"/>
    <w:basedOn w:val="Normal"/>
    <w:link w:val="NormalJBGSCar"/>
    <w:uiPriority w:val="5"/>
    <w:qFormat/>
    <w:rsid w:val="00E80CEF"/>
    <w:pPr>
      <w:spacing w:line="240" w:lineRule="atLeast"/>
    </w:pPr>
    <w:rPr>
      <w:rFonts w:ascii="Arial" w:eastAsiaTheme="minorHAnsi" w:hAnsi="Arial"/>
      <w:i/>
      <w:iCs/>
      <w:color w:val="FF0000"/>
      <w:lang w:val="en-US"/>
    </w:rPr>
  </w:style>
  <w:style w:type="character" w:customStyle="1" w:styleId="bulletJBGSCar">
    <w:name w:val="bullet JBGS Car"/>
    <w:basedOn w:val="DefaultParagraphFont"/>
    <w:link w:val="bulletJBGS"/>
    <w:uiPriority w:val="5"/>
    <w:rsid w:val="00A94418"/>
    <w:rPr>
      <w:i/>
      <w:iCs/>
      <w:color w:val="FF0000"/>
      <w:sz w:val="18"/>
      <w:szCs w:val="18"/>
      <w:lang w:val="en-US"/>
    </w:rPr>
  </w:style>
  <w:style w:type="character" w:customStyle="1" w:styleId="NormalJBGSCar">
    <w:name w:val="Normal JBGS Car"/>
    <w:basedOn w:val="DefaultParagraphFont"/>
    <w:link w:val="NormalJBGS"/>
    <w:uiPriority w:val="5"/>
    <w:rsid w:val="00A94418"/>
    <w:rPr>
      <w:i/>
      <w:iCs/>
      <w:color w:val="FF0000"/>
      <w:sz w:val="20"/>
      <w:szCs w:val="20"/>
      <w:lang w:val="en-US"/>
    </w:rPr>
  </w:style>
  <w:style w:type="paragraph" w:customStyle="1" w:styleId="liste2">
    <w:name w:val="liste 2"/>
    <w:basedOn w:val="ListParagraph"/>
    <w:link w:val="liste2Car"/>
    <w:qFormat/>
    <w:rsid w:val="00E80CEF"/>
    <w:pPr>
      <w:numPr>
        <w:numId w:val="29"/>
      </w:numPr>
      <w:spacing w:before="60" w:after="60" w:line="240" w:lineRule="auto"/>
      <w:ind w:left="456" w:hanging="357"/>
      <w:contextualSpacing w:val="0"/>
      <w:jc w:val="both"/>
    </w:pPr>
    <w:rPr>
      <w:rFonts w:eastAsiaTheme="minorHAnsi"/>
      <w:sz w:val="18"/>
      <w:szCs w:val="18"/>
      <w:lang w:eastAsia="fr-FR"/>
    </w:rPr>
  </w:style>
  <w:style w:type="character" w:customStyle="1" w:styleId="liste2Car">
    <w:name w:val="liste 2 Car"/>
    <w:basedOn w:val="DefaultParagraphFont"/>
    <w:link w:val="liste2"/>
    <w:rsid w:val="005209C6"/>
    <w:rPr>
      <w:rFonts w:asciiTheme="minorHAnsi" w:hAnsiTheme="minorHAnsi"/>
      <w:sz w:val="18"/>
      <w:szCs w:val="18"/>
      <w:lang w:eastAsia="fr-FR"/>
    </w:rPr>
  </w:style>
  <w:style w:type="character" w:customStyle="1" w:styleId="DefaultCar">
    <w:name w:val="Default Car"/>
    <w:basedOn w:val="DefaultParagraphFont"/>
    <w:link w:val="Default"/>
    <w:rsid w:val="00592CD8"/>
    <w:rPr>
      <w:rFonts w:cs="Arial"/>
      <w:color w:val="000000"/>
      <w:sz w:val="24"/>
      <w:szCs w:val="24"/>
    </w:rPr>
  </w:style>
  <w:style w:type="paragraph" w:customStyle="1" w:styleId="liste1">
    <w:name w:val="liste1"/>
    <w:basedOn w:val="Normal"/>
    <w:qFormat/>
    <w:rsid w:val="00E80CEF"/>
    <w:pPr>
      <w:numPr>
        <w:numId w:val="36"/>
      </w:numPr>
      <w:spacing w:before="120" w:line="240" w:lineRule="auto"/>
      <w:ind w:right="130"/>
      <w:jc w:val="both"/>
    </w:pPr>
    <w:rPr>
      <w:rFonts w:ascii="Arial" w:eastAsia="Calibri" w:hAnsi="Arial" w:cs="Arial"/>
      <w:sz w:val="22"/>
      <w:szCs w:val="22"/>
    </w:rPr>
  </w:style>
  <w:style w:type="character" w:customStyle="1" w:styleId="Mentionnonrsolue2">
    <w:name w:val="Mention non résolue2"/>
    <w:basedOn w:val="DefaultParagraphFont"/>
    <w:uiPriority w:val="99"/>
    <w:semiHidden/>
    <w:unhideWhenUsed/>
    <w:rsid w:val="00FC7145"/>
    <w:rPr>
      <w:color w:val="605E5C"/>
      <w:shd w:val="clear" w:color="auto" w:fill="E1DFDD"/>
    </w:rPr>
  </w:style>
  <w:style w:type="paragraph" w:customStyle="1" w:styleId="BVIfnrCharChar">
    <w:name w:val="BVI fnr Char Char"/>
    <w:aliases w:val="BVI fnr Car Car Char Char,BVI fnr Car Char Char,BVI fnr Car Car Car Car Char Char,BVI fnr Car Car Car Car Char Char Char1"/>
    <w:basedOn w:val="Normal"/>
    <w:link w:val="FootnoteReference"/>
    <w:uiPriority w:val="99"/>
    <w:rsid w:val="00E80CEF"/>
    <w:pPr>
      <w:spacing w:line="240" w:lineRule="exact"/>
      <w:ind w:left="567" w:hanging="567"/>
      <w:jc w:val="both"/>
    </w:pPr>
    <w:rPr>
      <w:vertAlign w:val="superscript"/>
    </w:rPr>
  </w:style>
  <w:style w:type="paragraph" w:customStyle="1" w:styleId="NormalNoSpace">
    <w:name w:val="NormalNoSpace"/>
    <w:basedOn w:val="Normal"/>
    <w:next w:val="Normal"/>
    <w:uiPriority w:val="5"/>
    <w:qFormat/>
    <w:rsid w:val="00CD235A"/>
    <w:pPr>
      <w:spacing w:before="60" w:after="60" w:line="240" w:lineRule="auto"/>
      <w:jc w:val="both"/>
    </w:pPr>
    <w:rPr>
      <w:rFonts w:ascii="Arial" w:eastAsiaTheme="minorHAnsi" w:hAnsi="Arial"/>
      <w:sz w:val="22"/>
      <w:szCs w:val="22"/>
      <w:lang w:val="en-US"/>
    </w:rPr>
  </w:style>
  <w:style w:type="paragraph" w:customStyle="1" w:styleId="xmsonormal">
    <w:name w:val="x_msonormal"/>
    <w:basedOn w:val="Normal"/>
    <w:rsid w:val="009A4B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1">
    <w:name w:val="Mention non résolue21"/>
    <w:basedOn w:val="DefaultParagraphFont"/>
    <w:uiPriority w:val="99"/>
    <w:semiHidden/>
    <w:unhideWhenUsed/>
    <w:rsid w:val="000760AB"/>
    <w:rPr>
      <w:color w:val="605E5C"/>
      <w:shd w:val="clear" w:color="auto" w:fill="E1DFDD"/>
    </w:rPr>
  </w:style>
  <w:style w:type="paragraph" w:styleId="Revision">
    <w:name w:val="Revision"/>
    <w:hidden/>
    <w:uiPriority w:val="99"/>
    <w:semiHidden/>
    <w:rsid w:val="000760AB"/>
    <w:pPr>
      <w:spacing w:after="0" w:line="240" w:lineRule="auto"/>
    </w:pPr>
    <w:rPr>
      <w:rFonts w:asciiTheme="minorHAnsi" w:eastAsiaTheme="minorEastAsia" w:hAnsiTheme="minorHAnsi"/>
      <w:sz w:val="20"/>
      <w:szCs w:val="20"/>
    </w:rPr>
  </w:style>
  <w:style w:type="paragraph" w:customStyle="1" w:styleId="BodyLetter">
    <w:name w:val="Body Letter"/>
    <w:qFormat/>
    <w:rsid w:val="000F6C38"/>
    <w:pPr>
      <w:spacing w:after="0" w:line="264" w:lineRule="exact"/>
    </w:pPr>
    <w:rPr>
      <w:rFonts w:ascii="Georgia" w:eastAsiaTheme="minorEastAsia" w:hAnsi="Georgia"/>
      <w:color w:val="404040" w:themeColor="text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1413">
      <w:bodyDiv w:val="1"/>
      <w:marLeft w:val="0"/>
      <w:marRight w:val="0"/>
      <w:marTop w:val="0"/>
      <w:marBottom w:val="0"/>
      <w:divBdr>
        <w:top w:val="none" w:sz="0" w:space="0" w:color="auto"/>
        <w:left w:val="none" w:sz="0" w:space="0" w:color="auto"/>
        <w:bottom w:val="none" w:sz="0" w:space="0" w:color="auto"/>
        <w:right w:val="none" w:sz="0" w:space="0" w:color="auto"/>
      </w:divBdr>
    </w:div>
    <w:div w:id="93289532">
      <w:bodyDiv w:val="1"/>
      <w:marLeft w:val="0"/>
      <w:marRight w:val="0"/>
      <w:marTop w:val="0"/>
      <w:marBottom w:val="0"/>
      <w:divBdr>
        <w:top w:val="none" w:sz="0" w:space="0" w:color="auto"/>
        <w:left w:val="none" w:sz="0" w:space="0" w:color="auto"/>
        <w:bottom w:val="none" w:sz="0" w:space="0" w:color="auto"/>
        <w:right w:val="none" w:sz="0" w:space="0" w:color="auto"/>
      </w:divBdr>
    </w:div>
    <w:div w:id="141387943">
      <w:bodyDiv w:val="1"/>
      <w:marLeft w:val="0"/>
      <w:marRight w:val="0"/>
      <w:marTop w:val="0"/>
      <w:marBottom w:val="0"/>
      <w:divBdr>
        <w:top w:val="none" w:sz="0" w:space="0" w:color="auto"/>
        <w:left w:val="none" w:sz="0" w:space="0" w:color="auto"/>
        <w:bottom w:val="none" w:sz="0" w:space="0" w:color="auto"/>
        <w:right w:val="none" w:sz="0" w:space="0" w:color="auto"/>
      </w:divBdr>
    </w:div>
    <w:div w:id="219441108">
      <w:bodyDiv w:val="1"/>
      <w:marLeft w:val="0"/>
      <w:marRight w:val="0"/>
      <w:marTop w:val="0"/>
      <w:marBottom w:val="0"/>
      <w:divBdr>
        <w:top w:val="none" w:sz="0" w:space="0" w:color="auto"/>
        <w:left w:val="none" w:sz="0" w:space="0" w:color="auto"/>
        <w:bottom w:val="none" w:sz="0" w:space="0" w:color="auto"/>
        <w:right w:val="none" w:sz="0" w:space="0" w:color="auto"/>
      </w:divBdr>
    </w:div>
    <w:div w:id="254754526">
      <w:bodyDiv w:val="1"/>
      <w:marLeft w:val="0"/>
      <w:marRight w:val="0"/>
      <w:marTop w:val="0"/>
      <w:marBottom w:val="0"/>
      <w:divBdr>
        <w:top w:val="none" w:sz="0" w:space="0" w:color="auto"/>
        <w:left w:val="none" w:sz="0" w:space="0" w:color="auto"/>
        <w:bottom w:val="none" w:sz="0" w:space="0" w:color="auto"/>
        <w:right w:val="none" w:sz="0" w:space="0" w:color="auto"/>
      </w:divBdr>
    </w:div>
    <w:div w:id="259877089">
      <w:bodyDiv w:val="1"/>
      <w:marLeft w:val="0"/>
      <w:marRight w:val="0"/>
      <w:marTop w:val="0"/>
      <w:marBottom w:val="0"/>
      <w:divBdr>
        <w:top w:val="none" w:sz="0" w:space="0" w:color="auto"/>
        <w:left w:val="none" w:sz="0" w:space="0" w:color="auto"/>
        <w:bottom w:val="none" w:sz="0" w:space="0" w:color="auto"/>
        <w:right w:val="none" w:sz="0" w:space="0" w:color="auto"/>
      </w:divBdr>
    </w:div>
    <w:div w:id="342167675">
      <w:bodyDiv w:val="1"/>
      <w:marLeft w:val="0"/>
      <w:marRight w:val="0"/>
      <w:marTop w:val="0"/>
      <w:marBottom w:val="0"/>
      <w:divBdr>
        <w:top w:val="none" w:sz="0" w:space="0" w:color="auto"/>
        <w:left w:val="none" w:sz="0" w:space="0" w:color="auto"/>
        <w:bottom w:val="none" w:sz="0" w:space="0" w:color="auto"/>
        <w:right w:val="none" w:sz="0" w:space="0" w:color="auto"/>
      </w:divBdr>
    </w:div>
    <w:div w:id="367414426">
      <w:bodyDiv w:val="1"/>
      <w:marLeft w:val="0"/>
      <w:marRight w:val="0"/>
      <w:marTop w:val="0"/>
      <w:marBottom w:val="0"/>
      <w:divBdr>
        <w:top w:val="none" w:sz="0" w:space="0" w:color="auto"/>
        <w:left w:val="none" w:sz="0" w:space="0" w:color="auto"/>
        <w:bottom w:val="none" w:sz="0" w:space="0" w:color="auto"/>
        <w:right w:val="none" w:sz="0" w:space="0" w:color="auto"/>
      </w:divBdr>
    </w:div>
    <w:div w:id="420683863">
      <w:bodyDiv w:val="1"/>
      <w:marLeft w:val="0"/>
      <w:marRight w:val="0"/>
      <w:marTop w:val="0"/>
      <w:marBottom w:val="0"/>
      <w:divBdr>
        <w:top w:val="none" w:sz="0" w:space="0" w:color="auto"/>
        <w:left w:val="none" w:sz="0" w:space="0" w:color="auto"/>
        <w:bottom w:val="none" w:sz="0" w:space="0" w:color="auto"/>
        <w:right w:val="none" w:sz="0" w:space="0" w:color="auto"/>
      </w:divBdr>
    </w:div>
    <w:div w:id="448672202">
      <w:bodyDiv w:val="1"/>
      <w:marLeft w:val="0"/>
      <w:marRight w:val="0"/>
      <w:marTop w:val="0"/>
      <w:marBottom w:val="0"/>
      <w:divBdr>
        <w:top w:val="none" w:sz="0" w:space="0" w:color="auto"/>
        <w:left w:val="none" w:sz="0" w:space="0" w:color="auto"/>
        <w:bottom w:val="none" w:sz="0" w:space="0" w:color="auto"/>
        <w:right w:val="none" w:sz="0" w:space="0" w:color="auto"/>
      </w:divBdr>
    </w:div>
    <w:div w:id="465121532">
      <w:bodyDiv w:val="1"/>
      <w:marLeft w:val="0"/>
      <w:marRight w:val="0"/>
      <w:marTop w:val="0"/>
      <w:marBottom w:val="0"/>
      <w:divBdr>
        <w:top w:val="none" w:sz="0" w:space="0" w:color="auto"/>
        <w:left w:val="none" w:sz="0" w:space="0" w:color="auto"/>
        <w:bottom w:val="none" w:sz="0" w:space="0" w:color="auto"/>
        <w:right w:val="none" w:sz="0" w:space="0" w:color="auto"/>
      </w:divBdr>
    </w:div>
    <w:div w:id="533343924">
      <w:bodyDiv w:val="1"/>
      <w:marLeft w:val="0"/>
      <w:marRight w:val="0"/>
      <w:marTop w:val="0"/>
      <w:marBottom w:val="0"/>
      <w:divBdr>
        <w:top w:val="none" w:sz="0" w:space="0" w:color="auto"/>
        <w:left w:val="none" w:sz="0" w:space="0" w:color="auto"/>
        <w:bottom w:val="none" w:sz="0" w:space="0" w:color="auto"/>
        <w:right w:val="none" w:sz="0" w:space="0" w:color="auto"/>
      </w:divBdr>
    </w:div>
    <w:div w:id="565848049">
      <w:bodyDiv w:val="1"/>
      <w:marLeft w:val="0"/>
      <w:marRight w:val="0"/>
      <w:marTop w:val="0"/>
      <w:marBottom w:val="0"/>
      <w:divBdr>
        <w:top w:val="none" w:sz="0" w:space="0" w:color="auto"/>
        <w:left w:val="none" w:sz="0" w:space="0" w:color="auto"/>
        <w:bottom w:val="none" w:sz="0" w:space="0" w:color="auto"/>
        <w:right w:val="none" w:sz="0" w:space="0" w:color="auto"/>
      </w:divBdr>
    </w:div>
    <w:div w:id="644895921">
      <w:bodyDiv w:val="1"/>
      <w:marLeft w:val="0"/>
      <w:marRight w:val="0"/>
      <w:marTop w:val="0"/>
      <w:marBottom w:val="0"/>
      <w:divBdr>
        <w:top w:val="none" w:sz="0" w:space="0" w:color="auto"/>
        <w:left w:val="none" w:sz="0" w:space="0" w:color="auto"/>
        <w:bottom w:val="none" w:sz="0" w:space="0" w:color="auto"/>
        <w:right w:val="none" w:sz="0" w:space="0" w:color="auto"/>
      </w:divBdr>
    </w:div>
    <w:div w:id="670525631">
      <w:bodyDiv w:val="1"/>
      <w:marLeft w:val="0"/>
      <w:marRight w:val="0"/>
      <w:marTop w:val="0"/>
      <w:marBottom w:val="0"/>
      <w:divBdr>
        <w:top w:val="none" w:sz="0" w:space="0" w:color="auto"/>
        <w:left w:val="none" w:sz="0" w:space="0" w:color="auto"/>
        <w:bottom w:val="none" w:sz="0" w:space="0" w:color="auto"/>
        <w:right w:val="none" w:sz="0" w:space="0" w:color="auto"/>
      </w:divBdr>
    </w:div>
    <w:div w:id="682364677">
      <w:bodyDiv w:val="1"/>
      <w:marLeft w:val="0"/>
      <w:marRight w:val="0"/>
      <w:marTop w:val="0"/>
      <w:marBottom w:val="0"/>
      <w:divBdr>
        <w:top w:val="none" w:sz="0" w:space="0" w:color="auto"/>
        <w:left w:val="none" w:sz="0" w:space="0" w:color="auto"/>
        <w:bottom w:val="none" w:sz="0" w:space="0" w:color="auto"/>
        <w:right w:val="none" w:sz="0" w:space="0" w:color="auto"/>
      </w:divBdr>
      <w:divsChild>
        <w:div w:id="36399467">
          <w:marLeft w:val="547"/>
          <w:marRight w:val="130"/>
          <w:marTop w:val="0"/>
          <w:marBottom w:val="0"/>
          <w:divBdr>
            <w:top w:val="none" w:sz="0" w:space="0" w:color="auto"/>
            <w:left w:val="none" w:sz="0" w:space="0" w:color="auto"/>
            <w:bottom w:val="none" w:sz="0" w:space="0" w:color="auto"/>
            <w:right w:val="none" w:sz="0" w:space="0" w:color="auto"/>
          </w:divBdr>
        </w:div>
        <w:div w:id="50614960">
          <w:marLeft w:val="547"/>
          <w:marRight w:val="130"/>
          <w:marTop w:val="0"/>
          <w:marBottom w:val="0"/>
          <w:divBdr>
            <w:top w:val="none" w:sz="0" w:space="0" w:color="auto"/>
            <w:left w:val="none" w:sz="0" w:space="0" w:color="auto"/>
            <w:bottom w:val="none" w:sz="0" w:space="0" w:color="auto"/>
            <w:right w:val="none" w:sz="0" w:space="0" w:color="auto"/>
          </w:divBdr>
        </w:div>
        <w:div w:id="377437395">
          <w:marLeft w:val="547"/>
          <w:marRight w:val="130"/>
          <w:marTop w:val="0"/>
          <w:marBottom w:val="0"/>
          <w:divBdr>
            <w:top w:val="none" w:sz="0" w:space="0" w:color="auto"/>
            <w:left w:val="none" w:sz="0" w:space="0" w:color="auto"/>
            <w:bottom w:val="none" w:sz="0" w:space="0" w:color="auto"/>
            <w:right w:val="none" w:sz="0" w:space="0" w:color="auto"/>
          </w:divBdr>
        </w:div>
        <w:div w:id="1804539724">
          <w:marLeft w:val="547"/>
          <w:marRight w:val="130"/>
          <w:marTop w:val="0"/>
          <w:marBottom w:val="0"/>
          <w:divBdr>
            <w:top w:val="none" w:sz="0" w:space="0" w:color="auto"/>
            <w:left w:val="none" w:sz="0" w:space="0" w:color="auto"/>
            <w:bottom w:val="none" w:sz="0" w:space="0" w:color="auto"/>
            <w:right w:val="none" w:sz="0" w:space="0" w:color="auto"/>
          </w:divBdr>
        </w:div>
        <w:div w:id="2029599093">
          <w:marLeft w:val="547"/>
          <w:marRight w:val="130"/>
          <w:marTop w:val="0"/>
          <w:marBottom w:val="0"/>
          <w:divBdr>
            <w:top w:val="none" w:sz="0" w:space="0" w:color="auto"/>
            <w:left w:val="none" w:sz="0" w:space="0" w:color="auto"/>
            <w:bottom w:val="none" w:sz="0" w:space="0" w:color="auto"/>
            <w:right w:val="none" w:sz="0" w:space="0" w:color="auto"/>
          </w:divBdr>
        </w:div>
      </w:divsChild>
    </w:div>
    <w:div w:id="700741623">
      <w:bodyDiv w:val="1"/>
      <w:marLeft w:val="0"/>
      <w:marRight w:val="0"/>
      <w:marTop w:val="0"/>
      <w:marBottom w:val="0"/>
      <w:divBdr>
        <w:top w:val="none" w:sz="0" w:space="0" w:color="auto"/>
        <w:left w:val="none" w:sz="0" w:space="0" w:color="auto"/>
        <w:bottom w:val="none" w:sz="0" w:space="0" w:color="auto"/>
        <w:right w:val="none" w:sz="0" w:space="0" w:color="auto"/>
      </w:divBdr>
    </w:div>
    <w:div w:id="713651354">
      <w:bodyDiv w:val="1"/>
      <w:marLeft w:val="0"/>
      <w:marRight w:val="0"/>
      <w:marTop w:val="0"/>
      <w:marBottom w:val="0"/>
      <w:divBdr>
        <w:top w:val="none" w:sz="0" w:space="0" w:color="auto"/>
        <w:left w:val="none" w:sz="0" w:space="0" w:color="auto"/>
        <w:bottom w:val="none" w:sz="0" w:space="0" w:color="auto"/>
        <w:right w:val="none" w:sz="0" w:space="0" w:color="auto"/>
      </w:divBdr>
    </w:div>
    <w:div w:id="741414156">
      <w:bodyDiv w:val="1"/>
      <w:marLeft w:val="0"/>
      <w:marRight w:val="0"/>
      <w:marTop w:val="0"/>
      <w:marBottom w:val="0"/>
      <w:divBdr>
        <w:top w:val="none" w:sz="0" w:space="0" w:color="auto"/>
        <w:left w:val="none" w:sz="0" w:space="0" w:color="auto"/>
        <w:bottom w:val="none" w:sz="0" w:space="0" w:color="auto"/>
        <w:right w:val="none" w:sz="0" w:space="0" w:color="auto"/>
      </w:divBdr>
    </w:div>
    <w:div w:id="824392976">
      <w:bodyDiv w:val="1"/>
      <w:marLeft w:val="0"/>
      <w:marRight w:val="0"/>
      <w:marTop w:val="0"/>
      <w:marBottom w:val="0"/>
      <w:divBdr>
        <w:top w:val="none" w:sz="0" w:space="0" w:color="auto"/>
        <w:left w:val="none" w:sz="0" w:space="0" w:color="auto"/>
        <w:bottom w:val="none" w:sz="0" w:space="0" w:color="auto"/>
        <w:right w:val="none" w:sz="0" w:space="0" w:color="auto"/>
      </w:divBdr>
    </w:div>
    <w:div w:id="842013630">
      <w:bodyDiv w:val="1"/>
      <w:marLeft w:val="0"/>
      <w:marRight w:val="0"/>
      <w:marTop w:val="0"/>
      <w:marBottom w:val="0"/>
      <w:divBdr>
        <w:top w:val="none" w:sz="0" w:space="0" w:color="auto"/>
        <w:left w:val="none" w:sz="0" w:space="0" w:color="auto"/>
        <w:bottom w:val="none" w:sz="0" w:space="0" w:color="auto"/>
        <w:right w:val="none" w:sz="0" w:space="0" w:color="auto"/>
      </w:divBdr>
    </w:div>
    <w:div w:id="1151747463">
      <w:bodyDiv w:val="1"/>
      <w:marLeft w:val="0"/>
      <w:marRight w:val="0"/>
      <w:marTop w:val="0"/>
      <w:marBottom w:val="0"/>
      <w:divBdr>
        <w:top w:val="none" w:sz="0" w:space="0" w:color="auto"/>
        <w:left w:val="none" w:sz="0" w:space="0" w:color="auto"/>
        <w:bottom w:val="none" w:sz="0" w:space="0" w:color="auto"/>
        <w:right w:val="none" w:sz="0" w:space="0" w:color="auto"/>
      </w:divBdr>
    </w:div>
    <w:div w:id="115606831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204516932">
      <w:bodyDiv w:val="1"/>
      <w:marLeft w:val="0"/>
      <w:marRight w:val="0"/>
      <w:marTop w:val="0"/>
      <w:marBottom w:val="0"/>
      <w:divBdr>
        <w:top w:val="none" w:sz="0" w:space="0" w:color="auto"/>
        <w:left w:val="none" w:sz="0" w:space="0" w:color="auto"/>
        <w:bottom w:val="none" w:sz="0" w:space="0" w:color="auto"/>
        <w:right w:val="none" w:sz="0" w:space="0" w:color="auto"/>
      </w:divBdr>
      <w:divsChild>
        <w:div w:id="685444486">
          <w:marLeft w:val="547"/>
          <w:marRight w:val="130"/>
          <w:marTop w:val="0"/>
          <w:marBottom w:val="0"/>
          <w:divBdr>
            <w:top w:val="none" w:sz="0" w:space="0" w:color="auto"/>
            <w:left w:val="none" w:sz="0" w:space="0" w:color="auto"/>
            <w:bottom w:val="none" w:sz="0" w:space="0" w:color="auto"/>
            <w:right w:val="none" w:sz="0" w:space="0" w:color="auto"/>
          </w:divBdr>
        </w:div>
        <w:div w:id="1021589832">
          <w:marLeft w:val="547"/>
          <w:marRight w:val="130"/>
          <w:marTop w:val="0"/>
          <w:marBottom w:val="0"/>
          <w:divBdr>
            <w:top w:val="none" w:sz="0" w:space="0" w:color="auto"/>
            <w:left w:val="none" w:sz="0" w:space="0" w:color="auto"/>
            <w:bottom w:val="none" w:sz="0" w:space="0" w:color="auto"/>
            <w:right w:val="none" w:sz="0" w:space="0" w:color="auto"/>
          </w:divBdr>
        </w:div>
        <w:div w:id="1251960747">
          <w:marLeft w:val="547"/>
          <w:marRight w:val="130"/>
          <w:marTop w:val="0"/>
          <w:marBottom w:val="0"/>
          <w:divBdr>
            <w:top w:val="none" w:sz="0" w:space="0" w:color="auto"/>
            <w:left w:val="none" w:sz="0" w:space="0" w:color="auto"/>
            <w:bottom w:val="none" w:sz="0" w:space="0" w:color="auto"/>
            <w:right w:val="none" w:sz="0" w:space="0" w:color="auto"/>
          </w:divBdr>
        </w:div>
        <w:div w:id="1630361425">
          <w:marLeft w:val="547"/>
          <w:marRight w:val="130"/>
          <w:marTop w:val="0"/>
          <w:marBottom w:val="0"/>
          <w:divBdr>
            <w:top w:val="none" w:sz="0" w:space="0" w:color="auto"/>
            <w:left w:val="none" w:sz="0" w:space="0" w:color="auto"/>
            <w:bottom w:val="none" w:sz="0" w:space="0" w:color="auto"/>
            <w:right w:val="none" w:sz="0" w:space="0" w:color="auto"/>
          </w:divBdr>
        </w:div>
        <w:div w:id="2048944223">
          <w:marLeft w:val="547"/>
          <w:marRight w:val="130"/>
          <w:marTop w:val="0"/>
          <w:marBottom w:val="0"/>
          <w:divBdr>
            <w:top w:val="none" w:sz="0" w:space="0" w:color="auto"/>
            <w:left w:val="none" w:sz="0" w:space="0" w:color="auto"/>
            <w:bottom w:val="none" w:sz="0" w:space="0" w:color="auto"/>
            <w:right w:val="none" w:sz="0" w:space="0" w:color="auto"/>
          </w:divBdr>
        </w:div>
      </w:divsChild>
    </w:div>
    <w:div w:id="1234704204">
      <w:bodyDiv w:val="1"/>
      <w:marLeft w:val="0"/>
      <w:marRight w:val="0"/>
      <w:marTop w:val="0"/>
      <w:marBottom w:val="0"/>
      <w:divBdr>
        <w:top w:val="none" w:sz="0" w:space="0" w:color="auto"/>
        <w:left w:val="none" w:sz="0" w:space="0" w:color="auto"/>
        <w:bottom w:val="none" w:sz="0" w:space="0" w:color="auto"/>
        <w:right w:val="none" w:sz="0" w:space="0" w:color="auto"/>
      </w:divBdr>
      <w:divsChild>
        <w:div w:id="1120608524">
          <w:marLeft w:val="0"/>
          <w:marRight w:val="0"/>
          <w:marTop w:val="0"/>
          <w:marBottom w:val="0"/>
          <w:divBdr>
            <w:top w:val="none" w:sz="0" w:space="0" w:color="auto"/>
            <w:left w:val="none" w:sz="0" w:space="0" w:color="auto"/>
            <w:bottom w:val="none" w:sz="0" w:space="0" w:color="auto"/>
            <w:right w:val="none" w:sz="0" w:space="0" w:color="auto"/>
          </w:divBdr>
        </w:div>
      </w:divsChild>
    </w:div>
    <w:div w:id="1339311797">
      <w:bodyDiv w:val="1"/>
      <w:marLeft w:val="0"/>
      <w:marRight w:val="0"/>
      <w:marTop w:val="0"/>
      <w:marBottom w:val="0"/>
      <w:divBdr>
        <w:top w:val="none" w:sz="0" w:space="0" w:color="auto"/>
        <w:left w:val="none" w:sz="0" w:space="0" w:color="auto"/>
        <w:bottom w:val="none" w:sz="0" w:space="0" w:color="auto"/>
        <w:right w:val="none" w:sz="0" w:space="0" w:color="auto"/>
      </w:divBdr>
      <w:divsChild>
        <w:div w:id="194773322">
          <w:marLeft w:val="1267"/>
          <w:marRight w:val="130"/>
          <w:marTop w:val="0"/>
          <w:marBottom w:val="0"/>
          <w:divBdr>
            <w:top w:val="none" w:sz="0" w:space="0" w:color="auto"/>
            <w:left w:val="none" w:sz="0" w:space="0" w:color="auto"/>
            <w:bottom w:val="none" w:sz="0" w:space="0" w:color="auto"/>
            <w:right w:val="none" w:sz="0" w:space="0" w:color="auto"/>
          </w:divBdr>
        </w:div>
        <w:div w:id="276450351">
          <w:marLeft w:val="547"/>
          <w:marRight w:val="130"/>
          <w:marTop w:val="0"/>
          <w:marBottom w:val="0"/>
          <w:divBdr>
            <w:top w:val="none" w:sz="0" w:space="0" w:color="auto"/>
            <w:left w:val="none" w:sz="0" w:space="0" w:color="auto"/>
            <w:bottom w:val="none" w:sz="0" w:space="0" w:color="auto"/>
            <w:right w:val="none" w:sz="0" w:space="0" w:color="auto"/>
          </w:divBdr>
        </w:div>
        <w:div w:id="707493780">
          <w:marLeft w:val="1267"/>
          <w:marRight w:val="130"/>
          <w:marTop w:val="0"/>
          <w:marBottom w:val="0"/>
          <w:divBdr>
            <w:top w:val="none" w:sz="0" w:space="0" w:color="auto"/>
            <w:left w:val="none" w:sz="0" w:space="0" w:color="auto"/>
            <w:bottom w:val="none" w:sz="0" w:space="0" w:color="auto"/>
            <w:right w:val="none" w:sz="0" w:space="0" w:color="auto"/>
          </w:divBdr>
        </w:div>
        <w:div w:id="1389645870">
          <w:marLeft w:val="1267"/>
          <w:marRight w:val="130"/>
          <w:marTop w:val="0"/>
          <w:marBottom w:val="0"/>
          <w:divBdr>
            <w:top w:val="none" w:sz="0" w:space="0" w:color="auto"/>
            <w:left w:val="none" w:sz="0" w:space="0" w:color="auto"/>
            <w:bottom w:val="none" w:sz="0" w:space="0" w:color="auto"/>
            <w:right w:val="none" w:sz="0" w:space="0" w:color="auto"/>
          </w:divBdr>
        </w:div>
        <w:div w:id="1494645128">
          <w:marLeft w:val="547"/>
          <w:marRight w:val="130"/>
          <w:marTop w:val="0"/>
          <w:marBottom w:val="0"/>
          <w:divBdr>
            <w:top w:val="none" w:sz="0" w:space="0" w:color="auto"/>
            <w:left w:val="none" w:sz="0" w:space="0" w:color="auto"/>
            <w:bottom w:val="none" w:sz="0" w:space="0" w:color="auto"/>
            <w:right w:val="none" w:sz="0" w:space="0" w:color="auto"/>
          </w:divBdr>
        </w:div>
        <w:div w:id="1663656975">
          <w:marLeft w:val="1267"/>
          <w:marRight w:val="130"/>
          <w:marTop w:val="0"/>
          <w:marBottom w:val="0"/>
          <w:divBdr>
            <w:top w:val="none" w:sz="0" w:space="0" w:color="auto"/>
            <w:left w:val="none" w:sz="0" w:space="0" w:color="auto"/>
            <w:bottom w:val="none" w:sz="0" w:space="0" w:color="auto"/>
            <w:right w:val="none" w:sz="0" w:space="0" w:color="auto"/>
          </w:divBdr>
        </w:div>
        <w:div w:id="2124615154">
          <w:marLeft w:val="547"/>
          <w:marRight w:val="130"/>
          <w:marTop w:val="0"/>
          <w:marBottom w:val="0"/>
          <w:divBdr>
            <w:top w:val="none" w:sz="0" w:space="0" w:color="auto"/>
            <w:left w:val="none" w:sz="0" w:space="0" w:color="auto"/>
            <w:bottom w:val="none" w:sz="0" w:space="0" w:color="auto"/>
            <w:right w:val="none" w:sz="0" w:space="0" w:color="auto"/>
          </w:divBdr>
        </w:div>
      </w:divsChild>
    </w:div>
    <w:div w:id="1365136387">
      <w:bodyDiv w:val="1"/>
      <w:marLeft w:val="0"/>
      <w:marRight w:val="0"/>
      <w:marTop w:val="0"/>
      <w:marBottom w:val="0"/>
      <w:divBdr>
        <w:top w:val="none" w:sz="0" w:space="0" w:color="auto"/>
        <w:left w:val="none" w:sz="0" w:space="0" w:color="auto"/>
        <w:bottom w:val="none" w:sz="0" w:space="0" w:color="auto"/>
        <w:right w:val="none" w:sz="0" w:space="0" w:color="auto"/>
      </w:divBdr>
    </w:div>
    <w:div w:id="1384907521">
      <w:bodyDiv w:val="1"/>
      <w:marLeft w:val="0"/>
      <w:marRight w:val="0"/>
      <w:marTop w:val="0"/>
      <w:marBottom w:val="0"/>
      <w:divBdr>
        <w:top w:val="none" w:sz="0" w:space="0" w:color="auto"/>
        <w:left w:val="none" w:sz="0" w:space="0" w:color="auto"/>
        <w:bottom w:val="none" w:sz="0" w:space="0" w:color="auto"/>
        <w:right w:val="none" w:sz="0" w:space="0" w:color="auto"/>
      </w:divBdr>
    </w:div>
    <w:div w:id="1563641646">
      <w:bodyDiv w:val="1"/>
      <w:marLeft w:val="0"/>
      <w:marRight w:val="0"/>
      <w:marTop w:val="0"/>
      <w:marBottom w:val="0"/>
      <w:divBdr>
        <w:top w:val="none" w:sz="0" w:space="0" w:color="auto"/>
        <w:left w:val="none" w:sz="0" w:space="0" w:color="auto"/>
        <w:bottom w:val="none" w:sz="0" w:space="0" w:color="auto"/>
        <w:right w:val="none" w:sz="0" w:space="0" w:color="auto"/>
      </w:divBdr>
    </w:div>
    <w:div w:id="1693648903">
      <w:bodyDiv w:val="1"/>
      <w:marLeft w:val="0"/>
      <w:marRight w:val="0"/>
      <w:marTop w:val="0"/>
      <w:marBottom w:val="0"/>
      <w:divBdr>
        <w:top w:val="none" w:sz="0" w:space="0" w:color="auto"/>
        <w:left w:val="none" w:sz="0" w:space="0" w:color="auto"/>
        <w:bottom w:val="none" w:sz="0" w:space="0" w:color="auto"/>
        <w:right w:val="none" w:sz="0" w:space="0" w:color="auto"/>
      </w:divBdr>
    </w:div>
    <w:div w:id="1700008899">
      <w:bodyDiv w:val="1"/>
      <w:marLeft w:val="0"/>
      <w:marRight w:val="0"/>
      <w:marTop w:val="0"/>
      <w:marBottom w:val="0"/>
      <w:divBdr>
        <w:top w:val="none" w:sz="0" w:space="0" w:color="auto"/>
        <w:left w:val="none" w:sz="0" w:space="0" w:color="auto"/>
        <w:bottom w:val="none" w:sz="0" w:space="0" w:color="auto"/>
        <w:right w:val="none" w:sz="0" w:space="0" w:color="auto"/>
      </w:divBdr>
    </w:div>
    <w:div w:id="1735932299">
      <w:bodyDiv w:val="1"/>
      <w:marLeft w:val="0"/>
      <w:marRight w:val="0"/>
      <w:marTop w:val="0"/>
      <w:marBottom w:val="0"/>
      <w:divBdr>
        <w:top w:val="none" w:sz="0" w:space="0" w:color="auto"/>
        <w:left w:val="none" w:sz="0" w:space="0" w:color="auto"/>
        <w:bottom w:val="none" w:sz="0" w:space="0" w:color="auto"/>
        <w:right w:val="none" w:sz="0" w:space="0" w:color="auto"/>
      </w:divBdr>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922592509">
      <w:bodyDiv w:val="1"/>
      <w:marLeft w:val="0"/>
      <w:marRight w:val="0"/>
      <w:marTop w:val="0"/>
      <w:marBottom w:val="0"/>
      <w:divBdr>
        <w:top w:val="none" w:sz="0" w:space="0" w:color="auto"/>
        <w:left w:val="none" w:sz="0" w:space="0" w:color="auto"/>
        <w:bottom w:val="none" w:sz="0" w:space="0" w:color="auto"/>
        <w:right w:val="none" w:sz="0" w:space="0" w:color="auto"/>
      </w:divBdr>
    </w:div>
    <w:div w:id="1950043504">
      <w:bodyDiv w:val="1"/>
      <w:marLeft w:val="0"/>
      <w:marRight w:val="0"/>
      <w:marTop w:val="0"/>
      <w:marBottom w:val="0"/>
      <w:divBdr>
        <w:top w:val="none" w:sz="0" w:space="0" w:color="auto"/>
        <w:left w:val="none" w:sz="0" w:space="0" w:color="auto"/>
        <w:bottom w:val="none" w:sz="0" w:space="0" w:color="auto"/>
        <w:right w:val="none" w:sz="0" w:space="0" w:color="auto"/>
      </w:divBdr>
    </w:div>
    <w:div w:id="2033679489">
      <w:bodyDiv w:val="1"/>
      <w:marLeft w:val="0"/>
      <w:marRight w:val="0"/>
      <w:marTop w:val="0"/>
      <w:marBottom w:val="0"/>
      <w:divBdr>
        <w:top w:val="none" w:sz="0" w:space="0" w:color="auto"/>
        <w:left w:val="none" w:sz="0" w:space="0" w:color="auto"/>
        <w:bottom w:val="none" w:sz="0" w:space="0" w:color="auto"/>
        <w:right w:val="none" w:sz="0" w:space="0" w:color="auto"/>
      </w:divBdr>
    </w:div>
    <w:div w:id="2080906196">
      <w:bodyDiv w:val="1"/>
      <w:marLeft w:val="0"/>
      <w:marRight w:val="0"/>
      <w:marTop w:val="0"/>
      <w:marBottom w:val="0"/>
      <w:divBdr>
        <w:top w:val="none" w:sz="0" w:space="0" w:color="auto"/>
        <w:left w:val="none" w:sz="0" w:space="0" w:color="auto"/>
        <w:bottom w:val="none" w:sz="0" w:space="0" w:color="auto"/>
        <w:right w:val="none" w:sz="0" w:space="0" w:color="auto"/>
      </w:divBdr>
    </w:div>
    <w:div w:id="2082212061">
      <w:bodyDiv w:val="1"/>
      <w:marLeft w:val="0"/>
      <w:marRight w:val="0"/>
      <w:marTop w:val="0"/>
      <w:marBottom w:val="0"/>
      <w:divBdr>
        <w:top w:val="none" w:sz="0" w:space="0" w:color="auto"/>
        <w:left w:val="none" w:sz="0" w:space="0" w:color="auto"/>
        <w:bottom w:val="none" w:sz="0" w:space="0" w:color="auto"/>
        <w:right w:val="none" w:sz="0" w:space="0" w:color="auto"/>
      </w:divBdr>
      <w:divsChild>
        <w:div w:id="499195666">
          <w:marLeft w:val="360"/>
          <w:marRight w:val="0"/>
          <w:marTop w:val="200"/>
          <w:marBottom w:val="0"/>
          <w:divBdr>
            <w:top w:val="none" w:sz="0" w:space="0" w:color="auto"/>
            <w:left w:val="none" w:sz="0" w:space="0" w:color="auto"/>
            <w:bottom w:val="none" w:sz="0" w:space="0" w:color="auto"/>
            <w:right w:val="none" w:sz="0" w:space="0" w:color="auto"/>
          </w:divBdr>
        </w:div>
        <w:div w:id="1270357492">
          <w:marLeft w:val="360"/>
          <w:marRight w:val="0"/>
          <w:marTop w:val="200"/>
          <w:marBottom w:val="0"/>
          <w:divBdr>
            <w:top w:val="none" w:sz="0" w:space="0" w:color="auto"/>
            <w:left w:val="none" w:sz="0" w:space="0" w:color="auto"/>
            <w:bottom w:val="none" w:sz="0" w:space="0" w:color="auto"/>
            <w:right w:val="none" w:sz="0" w:space="0" w:color="auto"/>
          </w:divBdr>
        </w:div>
        <w:div w:id="1355643842">
          <w:marLeft w:val="360"/>
          <w:marRight w:val="0"/>
          <w:marTop w:val="200"/>
          <w:marBottom w:val="0"/>
          <w:divBdr>
            <w:top w:val="none" w:sz="0" w:space="0" w:color="auto"/>
            <w:left w:val="none" w:sz="0" w:space="0" w:color="auto"/>
            <w:bottom w:val="none" w:sz="0" w:space="0" w:color="auto"/>
            <w:right w:val="none" w:sz="0" w:space="0" w:color="auto"/>
          </w:divBdr>
        </w:div>
        <w:div w:id="21305840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jpeg"/><Relationship Id="rId26" Type="http://schemas.openxmlformats.org/officeDocument/2006/relationships/image" Target="media/image5.png"/><Relationship Id="rId8" Type="http://schemas.openxmlformats.org/officeDocument/2006/relationships/customXml" Target="../customXml/item8.xml"/><Relationship Id="rId21" Type="http://schemas.openxmlformats.org/officeDocument/2006/relationships/chart" Target="charts/chart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3.png"/><Relationship Id="rId28" Type="http://schemas.openxmlformats.org/officeDocument/2006/relationships/hyperlink" Target="https://www.theglobalfund.org/fr/funding-model/applying/resources/" TargetMode="External"/><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footer" Target="footer2.xml"/><Relationship Id="rId27" Type="http://schemas.openxmlformats.org/officeDocument/2006/relationships/hyperlink" Target="https://www.theglobalfund.org/fr/funding-model/applying/resources/" TargetMode="External"/><Relationship Id="rId14" Type="http://schemas.openxmlformats.org/officeDocument/2006/relationships/settings" Target="settings.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ouvannakane\AppData\Roaming\Microsoft\Templates\GF%20Report%20Template%201%20Colum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Feuil1!$L$6</c:f>
              <c:strCache>
                <c:ptCount val="1"/>
                <c:pt idx="0">
                  <c:v>Hommes</c:v>
                </c:pt>
              </c:strCache>
            </c:strRef>
          </c:tx>
          <c:spPr>
            <a:solidFill>
              <a:schemeClr val="accent6"/>
            </a:solidFill>
            <a:ln>
              <a:noFill/>
            </a:ln>
            <a:effectLst/>
          </c:spPr>
          <c:invertIfNegative val="0"/>
          <c:cat>
            <c:strRef>
              <c:f>Feuil1!$K$7:$K$24</c:f>
              <c:strCache>
                <c:ptCount val="18"/>
                <c:pt idx="0">
                  <c:v>2019</c:v>
                </c:pt>
                <c:pt idx="1">
                  <c:v> 0-4</c:v>
                </c:pt>
                <c:pt idx="2">
                  <c:v> 5-9</c:v>
                </c:pt>
                <c:pt idx="3">
                  <c:v> 10-14 </c:v>
                </c:pt>
                <c:pt idx="4">
                  <c:v> 15-19 </c:v>
                </c:pt>
                <c:pt idx="5">
                  <c:v> 20-24 </c:v>
                </c:pt>
                <c:pt idx="6">
                  <c:v> 25-29 </c:v>
                </c:pt>
                <c:pt idx="7">
                  <c:v> 30-34 </c:v>
                </c:pt>
                <c:pt idx="8">
                  <c:v> 35-39 </c:v>
                </c:pt>
                <c:pt idx="9">
                  <c:v> 40-44 </c:v>
                </c:pt>
                <c:pt idx="10">
                  <c:v> 45-49 </c:v>
                </c:pt>
                <c:pt idx="11">
                  <c:v> 50-54 </c:v>
                </c:pt>
                <c:pt idx="12">
                  <c:v> 55-59 </c:v>
                </c:pt>
                <c:pt idx="13">
                  <c:v> 60-64 </c:v>
                </c:pt>
                <c:pt idx="14">
                  <c:v> 65-69 </c:v>
                </c:pt>
                <c:pt idx="15">
                  <c:v> 70-74 </c:v>
                </c:pt>
                <c:pt idx="16">
                  <c:v> 75-79 </c:v>
                </c:pt>
                <c:pt idx="17">
                  <c:v> 80+ </c:v>
                </c:pt>
              </c:strCache>
            </c:strRef>
          </c:cat>
          <c:val>
            <c:numRef>
              <c:f>Feuil1!$L$7:$L$24</c:f>
              <c:numCache>
                <c:formatCode>_-* #,##0\ _€_-;\-* #,##0\ _€_-;_-* "-"??\ _€_-;_-@_-</c:formatCode>
                <c:ptCount val="18"/>
                <c:pt idx="1">
                  <c:v>3773</c:v>
                </c:pt>
                <c:pt idx="2">
                  <c:v>5663</c:v>
                </c:pt>
                <c:pt idx="3">
                  <c:v>6651</c:v>
                </c:pt>
                <c:pt idx="4">
                  <c:v>6925</c:v>
                </c:pt>
                <c:pt idx="5">
                  <c:v>7373</c:v>
                </c:pt>
                <c:pt idx="6">
                  <c:v>8868</c:v>
                </c:pt>
                <c:pt idx="7">
                  <c:v>12167</c:v>
                </c:pt>
                <c:pt idx="8">
                  <c:v>16384</c:v>
                </c:pt>
                <c:pt idx="9">
                  <c:v>18656</c:v>
                </c:pt>
                <c:pt idx="10">
                  <c:v>18024</c:v>
                </c:pt>
                <c:pt idx="11">
                  <c:v>16111</c:v>
                </c:pt>
                <c:pt idx="12">
                  <c:v>12410</c:v>
                </c:pt>
                <c:pt idx="13">
                  <c:v>8679</c:v>
                </c:pt>
                <c:pt idx="14">
                  <c:v>5445</c:v>
                </c:pt>
                <c:pt idx="15">
                  <c:v>2944</c:v>
                </c:pt>
                <c:pt idx="16">
                  <c:v>1413</c:v>
                </c:pt>
                <c:pt idx="17">
                  <c:v>522</c:v>
                </c:pt>
              </c:numCache>
            </c:numRef>
          </c:val>
          <c:extLst>
            <c:ext xmlns:c16="http://schemas.microsoft.com/office/drawing/2014/chart" uri="{C3380CC4-5D6E-409C-BE32-E72D297353CC}">
              <c16:uniqueId val="{00000000-0E2B-4737-AEA8-35CFBC88180C}"/>
            </c:ext>
          </c:extLst>
        </c:ser>
        <c:ser>
          <c:idx val="1"/>
          <c:order val="1"/>
          <c:tx>
            <c:strRef>
              <c:f>Feuil1!$M$6</c:f>
              <c:strCache>
                <c:ptCount val="1"/>
                <c:pt idx="0">
                  <c:v>Femmes</c:v>
                </c:pt>
              </c:strCache>
            </c:strRef>
          </c:tx>
          <c:spPr>
            <a:solidFill>
              <a:schemeClr val="accent5"/>
            </a:solidFill>
            <a:ln>
              <a:noFill/>
            </a:ln>
            <a:effectLst/>
          </c:spPr>
          <c:invertIfNegative val="0"/>
          <c:cat>
            <c:strRef>
              <c:f>Feuil1!$K$7:$K$24</c:f>
              <c:strCache>
                <c:ptCount val="18"/>
                <c:pt idx="0">
                  <c:v>2019</c:v>
                </c:pt>
                <c:pt idx="1">
                  <c:v> 0-4</c:v>
                </c:pt>
                <c:pt idx="2">
                  <c:v> 5-9</c:v>
                </c:pt>
                <c:pt idx="3">
                  <c:v> 10-14 </c:v>
                </c:pt>
                <c:pt idx="4">
                  <c:v> 15-19 </c:v>
                </c:pt>
                <c:pt idx="5">
                  <c:v> 20-24 </c:v>
                </c:pt>
                <c:pt idx="6">
                  <c:v> 25-29 </c:v>
                </c:pt>
                <c:pt idx="7">
                  <c:v> 30-34 </c:v>
                </c:pt>
                <c:pt idx="8">
                  <c:v> 35-39 </c:v>
                </c:pt>
                <c:pt idx="9">
                  <c:v> 40-44 </c:v>
                </c:pt>
                <c:pt idx="10">
                  <c:v> 45-49 </c:v>
                </c:pt>
                <c:pt idx="11">
                  <c:v> 50-54 </c:v>
                </c:pt>
                <c:pt idx="12">
                  <c:v> 55-59 </c:v>
                </c:pt>
                <c:pt idx="13">
                  <c:v> 60-64 </c:v>
                </c:pt>
                <c:pt idx="14">
                  <c:v> 65-69 </c:v>
                </c:pt>
                <c:pt idx="15">
                  <c:v> 70-74 </c:v>
                </c:pt>
                <c:pt idx="16">
                  <c:v> 75-79 </c:v>
                </c:pt>
                <c:pt idx="17">
                  <c:v> 80+ </c:v>
                </c:pt>
              </c:strCache>
            </c:strRef>
          </c:cat>
          <c:val>
            <c:numRef>
              <c:f>Feuil1!$M$7:$M$24</c:f>
              <c:numCache>
                <c:formatCode>_-* #,##0\ _€_-;\-* #,##0\ _€_-;_-* "-"??\ _€_-;_-@_-</c:formatCode>
                <c:ptCount val="18"/>
                <c:pt idx="1">
                  <c:v>3595</c:v>
                </c:pt>
                <c:pt idx="2">
                  <c:v>5477</c:v>
                </c:pt>
                <c:pt idx="3">
                  <c:v>6504</c:v>
                </c:pt>
                <c:pt idx="4">
                  <c:v>9761</c:v>
                </c:pt>
                <c:pt idx="5">
                  <c:v>17741</c:v>
                </c:pt>
                <c:pt idx="6">
                  <c:v>26198</c:v>
                </c:pt>
                <c:pt idx="7">
                  <c:v>33603</c:v>
                </c:pt>
                <c:pt idx="8">
                  <c:v>39798</c:v>
                </c:pt>
                <c:pt idx="9">
                  <c:v>40457</c:v>
                </c:pt>
                <c:pt idx="10">
                  <c:v>33049</c:v>
                </c:pt>
                <c:pt idx="11">
                  <c:v>24038</c:v>
                </c:pt>
                <c:pt idx="12">
                  <c:v>15601</c:v>
                </c:pt>
                <c:pt idx="13">
                  <c:v>9801</c:v>
                </c:pt>
                <c:pt idx="14">
                  <c:v>5791</c:v>
                </c:pt>
                <c:pt idx="15">
                  <c:v>3049</c:v>
                </c:pt>
                <c:pt idx="16">
                  <c:v>1629</c:v>
                </c:pt>
                <c:pt idx="17">
                  <c:v>726</c:v>
                </c:pt>
              </c:numCache>
            </c:numRef>
          </c:val>
          <c:extLst>
            <c:ext xmlns:c16="http://schemas.microsoft.com/office/drawing/2014/chart" uri="{C3380CC4-5D6E-409C-BE32-E72D297353CC}">
              <c16:uniqueId val="{00000001-0E2B-4737-AEA8-35CFBC88180C}"/>
            </c:ext>
          </c:extLst>
        </c:ser>
        <c:dLbls>
          <c:showLegendKey val="0"/>
          <c:showVal val="0"/>
          <c:showCatName val="0"/>
          <c:showSerName val="0"/>
          <c:showPercent val="0"/>
          <c:showBubbleSize val="0"/>
        </c:dLbls>
        <c:gapWidth val="219"/>
        <c:overlap val="-27"/>
        <c:axId val="1227568768"/>
        <c:axId val="1227548640"/>
      </c:barChart>
      <c:catAx>
        <c:axId val="122756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227548640"/>
        <c:crosses val="autoZero"/>
        <c:auto val="1"/>
        <c:lblAlgn val="ctr"/>
        <c:lblOffset val="100"/>
        <c:noMultiLvlLbl val="0"/>
      </c:catAx>
      <c:valAx>
        <c:axId val="1227548640"/>
        <c:scaling>
          <c:orientation val="minMax"/>
        </c:scaling>
        <c:delete val="0"/>
        <c:axPos val="l"/>
        <c:majorGridlines>
          <c:spPr>
            <a:ln w="9525" cap="flat" cmpd="sng" algn="ctr">
              <a:solidFill>
                <a:schemeClr val="tx1">
                  <a:lumMod val="15000"/>
                  <a:lumOff val="85000"/>
                </a:schemeClr>
              </a:solid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22756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000" b="0" i="0" u="none" strike="noStrike" kern="1200" cap="none" spc="20" baseline="0">
                <a:solidFill>
                  <a:sysClr val="windowText" lastClr="000000"/>
                </a:solidFill>
                <a:latin typeface="+mn-lt"/>
                <a:ea typeface="+mn-ea"/>
                <a:cs typeface="+mn-cs"/>
              </a:defRPr>
            </a:pPr>
            <a:r>
              <a:rPr lang="fr-FR" sz="1000">
                <a:solidFill>
                  <a:sysClr val="windowText" lastClr="000000"/>
                </a:solidFill>
              </a:rPr>
              <a:t>Taux de séropositivité au VIH chez les femmes enceintes  de 2014 à 2019  </a:t>
            </a:r>
          </a:p>
        </c:rich>
      </c:tx>
      <c:layout>
        <c:manualLayout>
          <c:xMode val="edge"/>
          <c:yMode val="edge"/>
          <c:x val="0.12991874518679178"/>
          <c:y val="0"/>
        </c:manualLayout>
      </c:layout>
      <c:overlay val="0"/>
      <c:spPr>
        <a:noFill/>
        <a:ln>
          <a:noFill/>
        </a:ln>
        <a:effectLst/>
      </c:spPr>
      <c:txPr>
        <a:bodyPr rot="0" spcFirstLastPara="1" vertOverflow="ellipsis" vert="horz" wrap="square" anchor="ctr" anchorCtr="1"/>
        <a:lstStyle/>
        <a:p>
          <a:pPr algn="ctr">
            <a:defRPr sz="1000" b="0" i="0" u="none" strike="noStrike" kern="1200" cap="none" spc="2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'PTME-2019'!$AB$110</c:f>
              <c:strCache>
                <c:ptCount val="1"/>
                <c:pt idx="0">
                  <c:v>Taux de séropositivité </c:v>
                </c:pt>
              </c:strCache>
            </c:strRef>
          </c:tx>
          <c:spPr>
            <a:ln w="22225" cap="rnd" cmpd="sng" algn="ctr">
              <a:solidFill>
                <a:schemeClr val="accent1"/>
              </a:solidFill>
              <a:round/>
            </a:ln>
            <a:effectLst/>
          </c:spPr>
          <c:marker>
            <c:symbol val="none"/>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dk1">
                          <a:lumMod val="35000"/>
                          <a:lumOff val="65000"/>
                        </a:schemeClr>
                      </a:solidFill>
                    </a:ln>
                    <a:effectLst/>
                  </c:spPr>
                </c15:leaderLines>
              </c:ext>
            </c:extLst>
          </c:dLbls>
          <c:cat>
            <c:numRef>
              <c:f>'PTME-2019'!$AC$109:$AH$109</c:f>
              <c:numCache>
                <c:formatCode>General</c:formatCode>
                <c:ptCount val="6"/>
                <c:pt idx="0">
                  <c:v>2014</c:v>
                </c:pt>
                <c:pt idx="1">
                  <c:v>2015</c:v>
                </c:pt>
                <c:pt idx="2">
                  <c:v>2016</c:v>
                </c:pt>
                <c:pt idx="3">
                  <c:v>2017</c:v>
                </c:pt>
                <c:pt idx="4">
                  <c:v>2018</c:v>
                </c:pt>
                <c:pt idx="5">
                  <c:v>2019</c:v>
                </c:pt>
              </c:numCache>
            </c:numRef>
          </c:cat>
          <c:val>
            <c:numRef>
              <c:f>'PTME-2019'!$AC$110:$AH$110</c:f>
              <c:numCache>
                <c:formatCode>0.0%</c:formatCode>
                <c:ptCount val="6"/>
                <c:pt idx="0">
                  <c:v>0.02</c:v>
                </c:pt>
                <c:pt idx="1">
                  <c:v>1.6E-2</c:v>
                </c:pt>
                <c:pt idx="2">
                  <c:v>1.2E-2</c:v>
                </c:pt>
                <c:pt idx="3">
                  <c:v>0.01</c:v>
                </c:pt>
                <c:pt idx="4">
                  <c:v>8.9999999999999993E-3</c:v>
                </c:pt>
                <c:pt idx="5">
                  <c:v>7.0000000000000001E-3</c:v>
                </c:pt>
              </c:numCache>
            </c:numRef>
          </c:val>
          <c:smooth val="0"/>
          <c:extLst>
            <c:ext xmlns:c16="http://schemas.microsoft.com/office/drawing/2014/chart" uri="{C3380CC4-5D6E-409C-BE32-E72D297353CC}">
              <c16:uniqueId val="{00000000-2763-4E6F-9CDD-D1552A1036EB}"/>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227553536"/>
        <c:axId val="1227574208"/>
      </c:lineChart>
      <c:catAx>
        <c:axId val="122755353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mn-lt"/>
                <a:ea typeface="+mn-ea"/>
                <a:cs typeface="+mn-cs"/>
              </a:defRPr>
            </a:pPr>
            <a:endParaRPr lang="en-US"/>
          </a:p>
        </c:txPr>
        <c:crossAx val="1227574208"/>
        <c:crosses val="autoZero"/>
        <c:auto val="1"/>
        <c:lblAlgn val="ctr"/>
        <c:lblOffset val="100"/>
        <c:noMultiLvlLbl val="0"/>
      </c:catAx>
      <c:valAx>
        <c:axId val="122757420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mn-lt"/>
                <a:ea typeface="+mn-ea"/>
                <a:cs typeface="+mn-cs"/>
              </a:defRPr>
            </a:pPr>
            <a:endParaRPr lang="en-US"/>
          </a:p>
        </c:txPr>
        <c:crossAx val="122755353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lang w:val="fr-FR" w:bidi="fr-FR"/>
            </w:rPr>
            <w:t>Cliquer ici pour saisir du texte.</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lang w:val="fr-FR" w:bidi="fr-FR"/>
            </w:rPr>
            <w:t>Cliquer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07C3C"/>
    <w:rsid w:val="00046D04"/>
    <w:rsid w:val="00067FBF"/>
    <w:rsid w:val="00073973"/>
    <w:rsid w:val="000D4B67"/>
    <w:rsid w:val="00124A47"/>
    <w:rsid w:val="00156C44"/>
    <w:rsid w:val="001D79A7"/>
    <w:rsid w:val="00233DC3"/>
    <w:rsid w:val="00234B8B"/>
    <w:rsid w:val="00244D6A"/>
    <w:rsid w:val="002612C8"/>
    <w:rsid w:val="00283017"/>
    <w:rsid w:val="002F0B52"/>
    <w:rsid w:val="00316A00"/>
    <w:rsid w:val="00344512"/>
    <w:rsid w:val="0038413A"/>
    <w:rsid w:val="003A000D"/>
    <w:rsid w:val="003A0392"/>
    <w:rsid w:val="003F2C06"/>
    <w:rsid w:val="003F45F2"/>
    <w:rsid w:val="00404AF6"/>
    <w:rsid w:val="0041480C"/>
    <w:rsid w:val="0043665D"/>
    <w:rsid w:val="004A20E8"/>
    <w:rsid w:val="004A4EC1"/>
    <w:rsid w:val="004D4D1C"/>
    <w:rsid w:val="00507549"/>
    <w:rsid w:val="00520052"/>
    <w:rsid w:val="00523F6C"/>
    <w:rsid w:val="005C2936"/>
    <w:rsid w:val="005E07A1"/>
    <w:rsid w:val="005F2120"/>
    <w:rsid w:val="005F4B99"/>
    <w:rsid w:val="0065504F"/>
    <w:rsid w:val="006A1020"/>
    <w:rsid w:val="006A4236"/>
    <w:rsid w:val="006C3C35"/>
    <w:rsid w:val="006C59C6"/>
    <w:rsid w:val="006D39FB"/>
    <w:rsid w:val="0071250F"/>
    <w:rsid w:val="00730CFF"/>
    <w:rsid w:val="00740621"/>
    <w:rsid w:val="007871F1"/>
    <w:rsid w:val="007B0888"/>
    <w:rsid w:val="007B3905"/>
    <w:rsid w:val="00801CE7"/>
    <w:rsid w:val="0082456E"/>
    <w:rsid w:val="0083184D"/>
    <w:rsid w:val="008A6F9F"/>
    <w:rsid w:val="008B01AC"/>
    <w:rsid w:val="008E02C5"/>
    <w:rsid w:val="008E51C2"/>
    <w:rsid w:val="008F7CFE"/>
    <w:rsid w:val="00922623"/>
    <w:rsid w:val="00953DC6"/>
    <w:rsid w:val="0095631A"/>
    <w:rsid w:val="00957E1D"/>
    <w:rsid w:val="00982D9C"/>
    <w:rsid w:val="00985604"/>
    <w:rsid w:val="00996458"/>
    <w:rsid w:val="00A74E51"/>
    <w:rsid w:val="00A7566B"/>
    <w:rsid w:val="00A8117D"/>
    <w:rsid w:val="00A94225"/>
    <w:rsid w:val="00AE15A6"/>
    <w:rsid w:val="00AE43EB"/>
    <w:rsid w:val="00AF664B"/>
    <w:rsid w:val="00AF741A"/>
    <w:rsid w:val="00B20612"/>
    <w:rsid w:val="00B24CA6"/>
    <w:rsid w:val="00B30965"/>
    <w:rsid w:val="00B722E6"/>
    <w:rsid w:val="00B80191"/>
    <w:rsid w:val="00B80FDC"/>
    <w:rsid w:val="00BE20BF"/>
    <w:rsid w:val="00C12C80"/>
    <w:rsid w:val="00C25E61"/>
    <w:rsid w:val="00C35BB6"/>
    <w:rsid w:val="00C42128"/>
    <w:rsid w:val="00C6280E"/>
    <w:rsid w:val="00C8434D"/>
    <w:rsid w:val="00CA2D25"/>
    <w:rsid w:val="00D00D04"/>
    <w:rsid w:val="00D054F1"/>
    <w:rsid w:val="00D161AC"/>
    <w:rsid w:val="00D67624"/>
    <w:rsid w:val="00D71390"/>
    <w:rsid w:val="00D90ABF"/>
    <w:rsid w:val="00D97424"/>
    <w:rsid w:val="00E23AB6"/>
    <w:rsid w:val="00E82E78"/>
    <w:rsid w:val="00E95F64"/>
    <w:rsid w:val="00EC26F0"/>
    <w:rsid w:val="00F02102"/>
    <w:rsid w:val="00F83435"/>
    <w:rsid w:val="00F86CCF"/>
    <w:rsid w:val="00F935DE"/>
    <w:rsid w:val="00FB0B3C"/>
    <w:rsid w:val="00FB4D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17D"/>
    <w:rPr>
      <w:color w:val="808080"/>
      <w:lang w:val="en-US"/>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9FB4270EBD1C47EE926BAB71D106919F">
    <w:name w:val="9FB4270EBD1C47EE926BAB71D106919F"/>
    <w:rsid w:val="00A8117D"/>
    <w:rPr>
      <w:lang w:val="en-US" w:eastAsia="en-US"/>
    </w:rPr>
  </w:style>
  <w:style w:type="paragraph" w:customStyle="1" w:styleId="E6D894B2731A45CB802A8E20FFA802A5">
    <w:name w:val="E6D894B2731A45CB802A8E20FFA802A5"/>
    <w:rsid w:val="00A8117D"/>
    <w:rPr>
      <w:lang w:val="en-US" w:eastAsia="en-US"/>
    </w:rPr>
  </w:style>
  <w:style w:type="paragraph" w:customStyle="1" w:styleId="E6D894B2731A45CB802A8E20FFA802A51">
    <w:name w:val="E6D894B2731A45CB802A8E20FFA802A51"/>
    <w:rsid w:val="00A8117D"/>
    <w:pPr>
      <w:spacing w:before="200" w:after="200" w:line="240" w:lineRule="atLeast"/>
      <w:contextualSpacing/>
      <w:jc w:val="center"/>
    </w:pPr>
    <w:rPr>
      <w:rFonts w:ascii="Arial" w:eastAsiaTheme="minorHAnsi" w:hAnsi="Arial"/>
      <w:bCs/>
      <w:color w:val="E7E6E6" w:themeColor="background2"/>
      <w:kern w:val="40"/>
      <w:sz w:val="80"/>
      <w:szCs w:val="8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713ECAB89B2D45978C966736D2132B" ma:contentTypeVersion="18" ma:contentTypeDescription="Create a new document." ma:contentTypeScope="" ma:versionID="f26c0adf57217e29233e77a6405c03c4">
  <xsd:schema xmlns:xsd="http://www.w3.org/2001/XMLSchema" xmlns:xs="http://www.w3.org/2001/XMLSchema" xmlns:p="http://schemas.microsoft.com/office/2006/metadata/properties" xmlns:ns2="6a6644d3-f248-4067-83c6-e7eac864ebba" xmlns:ns3="bd6503db-64e4-4edd-a88a-28c904500f78" xmlns:ns4="a345560c-7f88-4e77-be50-7aca9d40ee02" targetNamespace="http://schemas.microsoft.com/office/2006/metadata/properties" ma:root="true" ma:fieldsID="70d17c2b85150eaa3abb7346f0621005" ns2:_="" ns3:_="" ns4:_="">
    <xsd:import namespace="6a6644d3-f248-4067-83c6-e7eac864ebba"/>
    <xsd:import namespace="bd6503db-64e4-4edd-a88a-28c904500f78"/>
    <xsd:import namespace="a345560c-7f88-4e77-be50-7aca9d40ee02"/>
    <xsd:element name="properties">
      <xsd:complexType>
        <xsd:sequence>
          <xsd:element name="documentManagement">
            <xsd:complexType>
              <xsd:all>
                <xsd:element ref="ns2:_dlc_DocId" minOccurs="0"/>
                <xsd:element ref="ns2:_dlc_DocIdUrl" minOccurs="0"/>
                <xsd:element ref="ns2:_dlc_DocIdPersistId" minOccurs="0"/>
                <xsd:element ref="ns3:Original_x0020_File_x0020_Name" minOccurs="0"/>
                <xsd:element ref="ns3:Language" minOccurs="0"/>
                <xsd:element ref="ns3:Window_x0020_number" minOccurs="0"/>
                <xsd:element ref="ns3:Document_x0020_File_x0020_Type"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salesforcePropertie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44d3-f248-4067-83c6-e7eac864eb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6503db-64e4-4edd-a88a-28c904500f78" elementFormDefault="qualified">
    <xsd:import namespace="http://schemas.microsoft.com/office/2006/documentManagement/types"/>
    <xsd:import namespace="http://schemas.microsoft.com/office/infopath/2007/PartnerControls"/>
    <xsd:element name="Original_x0020_File_x0020_Name" ma:index="11" nillable="true" ma:displayName="Original File Name" ma:internalName="Original_x0020_File_x0020_Name">
      <xsd:simpleType>
        <xsd:restriction base="dms:Text">
          <xsd:maxLength value="255"/>
        </xsd:restriction>
      </xsd:simpleType>
    </xsd:element>
    <xsd:element name="Language" ma:index="12" nillable="true" ma:displayName="Language" ma:internalName="Language">
      <xsd:simpleType>
        <xsd:restriction base="dms:Text">
          <xsd:maxLength value="80"/>
        </xsd:restriction>
      </xsd:simpleType>
    </xsd:element>
    <xsd:element name="Window_x0020_number" ma:index="13" nillable="true" ma:displayName="Window number" ma:internalName="Window_x0020_number">
      <xsd:simpleType>
        <xsd:restriction base="dms:Text">
          <xsd:maxLength value="255"/>
        </xsd:restriction>
      </xsd:simpleType>
    </xsd:element>
    <xsd:element name="Document_x0020_File_x0020_Type" ma:index="14" nillable="true" ma:displayName="Document File Type" ma:internalName="Document_x0020_File_x0020_Type">
      <xsd:simpleType>
        <xsd:restriction base="dms:Text">
          <xsd:maxLength value="100"/>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salesforceProperties" ma:index="22" nillable="true" ma:displayName="salesforceProperties" ma:default="1" ma:internalName="salesforceProperties">
      <xsd:simpleType>
        <xsd:restriction base="dms:Boolea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45560c-7f88-4e77-be50-7aca9d40ee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A762C1F7A084F14A94CC419D0C2C39B9" ma:contentTypeVersion="124" ma:contentTypeDescription="A work in progress document. &#10;Retention period upon archiving: 0 years." ma:contentTypeScope="" ma:versionID="1811908d5f0d5ca972a5b75457d11d2d">
  <xsd:schema xmlns:xsd="http://www.w3.org/2001/XMLSchema" xmlns:xs="http://www.w3.org/2001/XMLSchema" xmlns:p="http://schemas.microsoft.com/office/2006/metadata/properties" xmlns:ns2="a55cf367-9574-41a5-b85b-8fc07559e4eb" xmlns:ns3="fa473315-44a4-4518-8a4f-31f7017f3642" targetNamespace="http://schemas.microsoft.com/office/2006/metadata/properties" ma:root="true" ma:fieldsID="c93d90c17bbeb54c700b0676c221b594" ns2:_="" ns3:_="">
    <xsd:import namespace="a55cf367-9574-41a5-b85b-8fc07559e4eb"/>
    <xsd:import namespace="fa473315-44a4-4518-8a4f-31f7017f3642"/>
    <xsd:element name="properties">
      <xsd:complexType>
        <xsd:sequence>
          <xsd:element name="documentManagement">
            <xsd:complexType>
              <xsd:all>
                <xsd:element ref="ns2:Grant_x0020_Name" minOccurs="0"/>
                <xsd:element ref="ns3:_dlc_DocId" minOccurs="0"/>
                <xsd:element ref="ns3:_dlc_DocIdUrl" minOccurs="0"/>
                <xsd:element ref="ns3:_dlc_DocIdPersistId" minOccurs="0"/>
                <xsd:element ref="ns2:MediaServiceMetadata" minOccurs="0"/>
                <xsd:element ref="ns2:MediaServiceFastMetadata"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cf367-9574-41a5-b85b-8fc07559e4eb" elementFormDefault="qualified">
    <xsd:import namespace="http://schemas.microsoft.com/office/2006/documentManagement/types"/>
    <xsd:import namespace="http://schemas.microsoft.com/office/infopath/2007/PartnerControls"/>
    <xsd:element name="Grant_x0020_Name" ma:index="5" nillable="true" ma:displayName="Grant Name" ma:internalName="Grant_x0020_Name" ma:readOnly="false">
      <xsd:simpleType>
        <xsd:restriction base="dms:Text">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anguage xmlns="bd6503db-64e4-4edd-a88a-28c904500f78">French</Language>
    <_dlc_DocId xmlns="6a6644d3-f248-4067-83c6-e7eac864ebba">NAXEWDDVUNHE-581286713-8391</_dlc_DocId>
    <_dlc_DocIdUrl xmlns="6a6644d3-f248-4067-83c6-e7eac864ebba">
      <Url>https://tgf.sharepoint.com/sites/ESA2F1/TRPL/_layouts/15/DocIdRedir.aspx?ID=NAXEWDDVUNHE-581286713-8391</Url>
      <Description>NAXEWDDVUNHE-581286713-8391</Description>
    </_dlc_DocIdUrl>
    <salesforceProperties xmlns="bd6503db-64e4-4edd-a88a-28c904500f78">false</salesforceProperties>
    <Window_x0020_number xmlns="bd6503db-64e4-4edd-a88a-28c904500f78">Window 2b - May 2020</Window_x0020_number>
    <Document_x0020_File_x0020_Type xmlns="bd6503db-64e4-4edd-a88a-28c904500f78">Funding Request Form</Document_x0020_File_x0020_Type>
    <Original_x0020_File_x0020_Name xmlns="bd6503db-64e4-4edd-a88a-28c904500f78">CIV_VIH_Revuecomplete_canevas_fr_190620</Original_x0020_File_x0020_Name>
    <_Flow_SignoffStatus xmlns="bd6503db-64e4-4edd-a88a-28c904500f78" xsi:nil="true"/>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69C45C07427DD244A1F8EE5493A353F6" ma:contentTypeVersion="12" ma:contentTypeDescription="Create a new document." ma:contentTypeScope="" ma:versionID="ab5694bbeac296008a54968fcb74ab22">
  <xsd:schema xmlns:xsd="http://www.w3.org/2001/XMLSchema" xmlns:xs="http://www.w3.org/2001/XMLSchema" xmlns:p="http://schemas.microsoft.com/office/2006/metadata/properties" xmlns:ns2="8d9226e5-0ae8-4b71-b512-9971cf484e4d" xmlns:ns3="1b1008de-ff26-4af2-aadc-295ac604dcd7" targetNamespace="http://schemas.microsoft.com/office/2006/metadata/properties" ma:root="true" ma:fieldsID="a3bc93657d160e8a8dc1fc350b0141d2" ns2:_="" ns3:_="">
    <xsd:import namespace="8d9226e5-0ae8-4b71-b512-9971cf484e4d"/>
    <xsd:import namespace="1b1008de-ff26-4af2-aadc-295ac604dc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226e5-0ae8-4b71-b512-9971cf484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008de-ff26-4af2-aadc-295ac604dc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8980-C987-48AF-BFD7-20D6444F7008}">
  <ds:schemaRefs/>
</ds:datastoreItem>
</file>

<file path=customXml/itemProps10.xml><?xml version="1.0" encoding="utf-8"?>
<ds:datastoreItem xmlns:ds="http://schemas.openxmlformats.org/officeDocument/2006/customXml" ds:itemID="{A08E9AF4-C85E-4136-9B0C-24858CB8B9F9}">
  <ds:schemaRefs>
    <ds:schemaRef ds:uri="http://schemas.microsoft.com/sharepoint/events"/>
  </ds:schemaRefs>
</ds:datastoreItem>
</file>

<file path=customXml/itemProps11.xml><?xml version="1.0" encoding="utf-8"?>
<ds:datastoreItem xmlns:ds="http://schemas.openxmlformats.org/officeDocument/2006/customXml" ds:itemID="{8BB9B151-CAC1-46DE-AE05-4EC609017D42}">
  <ds:schemaRefs>
    <ds:schemaRef ds:uri="http://schemas.openxmlformats.org/officeDocument/2006/bibliography"/>
  </ds:schemaRefs>
</ds:datastoreItem>
</file>

<file path=customXml/itemProps2.xml><?xml version="1.0" encoding="utf-8"?>
<ds:datastoreItem xmlns:ds="http://schemas.openxmlformats.org/officeDocument/2006/customXml" ds:itemID="{5562EE34-A7F4-4597-A951-7124632FFBBC}"/>
</file>

<file path=customXml/itemProps3.xml><?xml version="1.0" encoding="utf-8"?>
<ds:datastoreItem xmlns:ds="http://schemas.openxmlformats.org/officeDocument/2006/customXml" ds:itemID="{8D5E30B6-B0B3-4002-B8CA-B50B2C373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cf367-9574-41a5-b85b-8fc07559e4eb"/>
    <ds:schemaRef ds:uri="fa473315-44a4-4518-8a4f-31f7017f3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3C777-243F-4D5C-825F-DC78DD026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sharepoint/v4"/>
    <ds:schemaRef ds:uri="2219519e-2df8-4e68-9bc8-47ece53c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E4FFB-B547-437A-A56E-613A8F346671}">
  <ds:schemaRefs/>
</ds:datastoreItem>
</file>

<file path=customXml/itemProps6.xml><?xml version="1.0" encoding="utf-8"?>
<ds:datastoreItem xmlns:ds="http://schemas.openxmlformats.org/officeDocument/2006/customXml" ds:itemID="{3F6C4113-65D3-442E-89B1-36DA786EA0EF}">
  <ds:schemaRefs>
    <ds:schemaRef ds:uri="http://schemas.microsoft.com/sharepoint/events"/>
  </ds:schemaRefs>
</ds:datastoreItem>
</file>

<file path=customXml/itemProps7.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8.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 ds:uri="fa473315-44a4-4518-8a4f-31f7017f3642"/>
    <ds:schemaRef ds:uri="a55cf367-9574-41a5-b85b-8fc07559e4eb"/>
  </ds:schemaRefs>
</ds:datastoreItem>
</file>

<file path=customXml/itemProps9.xml><?xml version="1.0" encoding="utf-8"?>
<ds:datastoreItem xmlns:ds="http://schemas.openxmlformats.org/officeDocument/2006/customXml" ds:itemID="{1BE524CE-4954-4FAA-AD68-CCE5E48A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226e5-0ae8-4b71-b512-9971cf484e4d"/>
    <ds:schemaRef ds:uri="1b1008de-ff26-4af2-aadc-295ac604d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7</TotalTime>
  <Pages>61</Pages>
  <Words>29526</Words>
  <Characters>168303</Characters>
  <Application>Microsoft Office Word</Application>
  <DocSecurity>0</DocSecurity>
  <Lines>1402</Lines>
  <Paragraphs>394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CIV_Revuecomplete_canevas_fr_draft1_020520</vt:lpstr>
      <vt:lpstr>CIV_Revuecomplete_canevas_fr_draft1_020520</vt:lpstr>
    </vt:vector>
  </TitlesOfParts>
  <Company/>
  <LinksUpToDate>false</LinksUpToDate>
  <CharactersWithSpaces>197435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CIV_Revuecomplete_canevas_fr_draft1_020520</dc:title>
  <dc:subject/>
  <dc:creator>Rebecca Phillips</dc:creator>
  <cp:keywords/>
  <dc:description/>
  <cp:lastModifiedBy>Roselyne Souvannakane</cp:lastModifiedBy>
  <cp:revision>5</cp:revision>
  <cp:lastPrinted>2019-07-30T13:38:00Z</cp:lastPrinted>
  <dcterms:created xsi:type="dcterms:W3CDTF">2020-06-19T09:05:00Z</dcterms:created>
  <dcterms:modified xsi:type="dcterms:W3CDTF">2020-06-23T06:05:00Z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0x01010052713ECAB89B2D45978C966736D2132B</vt:lpwstr>
  </property>
  <property fmtid="{D5CDD505-2E9C-101B-9397-08002B2CF9AE}" pid="8" name="_dlc_DocId">
    <vt:lpwstr>RM2R575YRTXY-1027117229-2797</vt:lpwstr>
  </property>
  <property fmtid="{D5CDD505-2E9C-101B-9397-08002B2CF9AE}" pid="9" name="_dlc_DocIdUrl">
    <vt:lpwstr>https://tgf.sharepoint.com/sites/TSGMT6/CIV1/_layouts/15/DocIdRedir.aspx?ID=RM2R575YRTXY-1027117229-2797, RM2R575YRTXY-1027117229-2797</vt:lpwstr>
  </property>
  <property fmtid="{D5CDD505-2E9C-101B-9397-08002B2CF9AE}" pid="10" name="_dlc_DocIdItemGuid">
    <vt:lpwstr>36d26165-83ff-4ec3-ad11-e76afa638eb3</vt:lpwstr>
  </property>
  <property fmtid="{D5CDD505-2E9C-101B-9397-08002B2CF9AE}" pid="11" name="Order">
    <vt:r8>393300</vt:r8>
  </property>
</Properties>
</file>